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26177" w14:textId="3F9D637E" w:rsidR="00DA3A49" w:rsidRDefault="00DA3A49" w:rsidP="000C29DE">
      <w:pPr>
        <w:rPr>
          <w:b/>
          <w:sz w:val="36"/>
        </w:rPr>
      </w:pPr>
      <w:bookmarkStart w:id="0" w:name="_GoBack"/>
      <w:bookmarkEnd w:id="0"/>
      <w:r>
        <w:rPr>
          <w:b/>
          <w:sz w:val="36"/>
        </w:rPr>
        <w:t>Informatie over de SWEPIS-studie voor zwangeren</w:t>
      </w:r>
    </w:p>
    <w:p w14:paraId="7A0CB9D1" w14:textId="5CA0D482" w:rsidR="00830EBD" w:rsidRDefault="00F0108A">
      <w:pPr>
        <w:rPr>
          <w:b/>
          <w:sz w:val="28"/>
        </w:rPr>
      </w:pPr>
      <w:r>
        <w:rPr>
          <w:b/>
          <w:sz w:val="28"/>
        </w:rPr>
        <w:t xml:space="preserve">Wat </w:t>
      </w:r>
      <w:r w:rsidR="00DA3A49">
        <w:rPr>
          <w:b/>
          <w:sz w:val="28"/>
        </w:rPr>
        <w:t xml:space="preserve">is </w:t>
      </w:r>
      <w:r>
        <w:rPr>
          <w:b/>
          <w:sz w:val="28"/>
        </w:rPr>
        <w:t>de SWEPIS-studie?</w:t>
      </w:r>
    </w:p>
    <w:p w14:paraId="554186AD" w14:textId="29F78E68" w:rsidR="00830EBD" w:rsidRDefault="001171BE">
      <w:r>
        <w:t xml:space="preserve">De SWEPIS-studie is een </w:t>
      </w:r>
      <w:r w:rsidR="009E705D">
        <w:t xml:space="preserve"> wetenschappelijke onderzoek </w:t>
      </w:r>
      <w:r>
        <w:t xml:space="preserve">dat </w:t>
      </w:r>
      <w:r w:rsidR="009E705D">
        <w:t xml:space="preserve">werd uitgevoerd in veertien ziekenhuizen in Zweden. </w:t>
      </w:r>
      <w:r w:rsidR="00711D93">
        <w:t>Tijdens het onderzoek werd d</w:t>
      </w:r>
      <w:r w:rsidR="00F0108A">
        <w:t xml:space="preserve">e helft van de </w:t>
      </w:r>
      <w:r w:rsidR="005C050C">
        <w:t xml:space="preserve">zwangeren </w:t>
      </w:r>
      <w:r w:rsidR="00F0108A">
        <w:t>ingeleid bij 41 weken</w:t>
      </w:r>
      <w:r w:rsidR="008D3D4E">
        <w:t xml:space="preserve">, terwijl </w:t>
      </w:r>
      <w:r w:rsidR="00D04F16">
        <w:t xml:space="preserve">bij </w:t>
      </w:r>
      <w:r w:rsidR="00F0108A">
        <w:t xml:space="preserve">de andere helft van de </w:t>
      </w:r>
      <w:r w:rsidR="005C050C">
        <w:t>zwangeren</w:t>
      </w:r>
      <w:r w:rsidR="008D3D4E">
        <w:t xml:space="preserve"> afgewacht</w:t>
      </w:r>
      <w:r w:rsidR="005C050C">
        <w:t xml:space="preserve"> </w:t>
      </w:r>
      <w:r w:rsidR="00D04F16">
        <w:t>werd tot uiterlijk</w:t>
      </w:r>
      <w:r w:rsidR="00F0108A">
        <w:t xml:space="preserve"> 42 weken. De </w:t>
      </w:r>
      <w:r w:rsidR="005C050C">
        <w:t xml:space="preserve">zwangeren </w:t>
      </w:r>
      <w:r w:rsidR="00F0108A">
        <w:t xml:space="preserve">in het onderzoek waren gezond en hadden een normale zwangerschap. </w:t>
      </w:r>
      <w:r w:rsidR="00F0108A" w:rsidRPr="00CE5D41">
        <w:rPr>
          <w:color w:val="000000"/>
        </w:rPr>
        <w:t>Voor het on</w:t>
      </w:r>
      <w:r w:rsidR="00F0108A">
        <w:t xml:space="preserve">derzoek </w:t>
      </w:r>
      <w:r w:rsidR="00711D93">
        <w:t xml:space="preserve">waren </w:t>
      </w:r>
      <w:r w:rsidR="00F0108A">
        <w:t xml:space="preserve">10.038 </w:t>
      </w:r>
      <w:r w:rsidR="005C050C">
        <w:t xml:space="preserve">zwangeren </w:t>
      </w:r>
      <w:r w:rsidR="00F0108A">
        <w:t xml:space="preserve">nodig, maar het onderzoek </w:t>
      </w:r>
      <w:r w:rsidR="00711D93">
        <w:t>stopte</w:t>
      </w:r>
      <w:r w:rsidR="00F0108A">
        <w:t xml:space="preserve"> toen er 2.760 </w:t>
      </w:r>
      <w:r w:rsidR="005C050C">
        <w:t xml:space="preserve">zwangeren </w:t>
      </w:r>
      <w:r w:rsidR="00F0108A">
        <w:t xml:space="preserve">hadden </w:t>
      </w:r>
      <w:r w:rsidR="00E238F2">
        <w:t>mee</w:t>
      </w:r>
      <w:r w:rsidR="00F0108A">
        <w:t xml:space="preserve">gedaan. De reden </w:t>
      </w:r>
      <w:r w:rsidR="00711D93">
        <w:t xml:space="preserve">om te stoppen </w:t>
      </w:r>
      <w:r w:rsidR="00F0108A">
        <w:t xml:space="preserve">was dat in de groep </w:t>
      </w:r>
      <w:r w:rsidR="005C050C">
        <w:t xml:space="preserve">zwangeren </w:t>
      </w:r>
      <w:r w:rsidR="00F0108A">
        <w:t xml:space="preserve">die </w:t>
      </w:r>
      <w:r w:rsidR="00FC42F9">
        <w:t>tot uiterlijk 42</w:t>
      </w:r>
      <w:r w:rsidR="00F0108A">
        <w:t xml:space="preserve"> weken </w:t>
      </w:r>
      <w:r w:rsidR="00E238F2">
        <w:t>afwachtte</w:t>
      </w:r>
      <w:r w:rsidR="00F0108A">
        <w:t xml:space="preserve"> zes ongeboren of pasgeboren baby</w:t>
      </w:r>
      <w:r w:rsidR="00FC42F9">
        <w:t>’</w:t>
      </w:r>
      <w:r w:rsidR="00F0108A">
        <w:t>s overleden</w:t>
      </w:r>
      <w:r w:rsidR="00FC42F9">
        <w:t xml:space="preserve"> (1).</w:t>
      </w:r>
    </w:p>
    <w:p w14:paraId="1A20A5EB" w14:textId="5086A548" w:rsidR="00F449F2" w:rsidRDefault="00F449F2">
      <w:pPr>
        <w:rPr>
          <w:b/>
          <w:bCs/>
          <w:sz w:val="28"/>
          <w:szCs w:val="28"/>
        </w:rPr>
      </w:pPr>
      <w:r>
        <w:rPr>
          <w:b/>
          <w:bCs/>
          <w:sz w:val="28"/>
          <w:szCs w:val="28"/>
        </w:rPr>
        <w:t>Moet ik me zorgen maken over mijn eigen zwangerschap?</w:t>
      </w:r>
    </w:p>
    <w:p w14:paraId="587F9718" w14:textId="2F75026D" w:rsidR="00F449F2" w:rsidRDefault="00CE5D41">
      <w:r>
        <w:t xml:space="preserve">Het aantal baby’s wat overleed in de Zweedse studie is opvallend hoog. In Nederland overlijden in dezelfde periode van de zwangerschap minder baby’s. </w:t>
      </w:r>
      <w:r w:rsidR="009E705D">
        <w:t xml:space="preserve">Wat de oorzaak is van de sterfte in dit onderzoek is nog niet duidelijk. We weten wel dat </w:t>
      </w:r>
      <w:r w:rsidR="0052120E">
        <w:t>de sterfte</w:t>
      </w:r>
      <w:r w:rsidR="009E705D">
        <w:t xml:space="preserve"> in een hele specifieke groep </w:t>
      </w:r>
      <w:r w:rsidR="005C050C">
        <w:t>zwangeren</w:t>
      </w:r>
      <w:r w:rsidR="0052120E">
        <w:t xml:space="preserve"> </w:t>
      </w:r>
      <w:r w:rsidR="009E705D">
        <w:t>plaatsvond</w:t>
      </w:r>
      <w:r w:rsidR="005C050C">
        <w:t>, namelijk</w:t>
      </w:r>
      <w:r w:rsidR="0052120E">
        <w:t xml:space="preserve"> </w:t>
      </w:r>
      <w:r w:rsidR="005C050C">
        <w:t xml:space="preserve">zwangeren </w:t>
      </w:r>
      <w:r w:rsidR="009E705D">
        <w:t xml:space="preserve">die van hun eerste kind bevielen en buiten de provincie Stockholm woonden. Wat hier de oorzaak van was, moet dus nog verder onderzocht worden. </w:t>
      </w:r>
      <w:r w:rsidR="005C050C">
        <w:t>Belangrijk is dat d</w:t>
      </w:r>
      <w:r w:rsidR="009E705D">
        <w:t>e situatie niet vergelijkbaar</w:t>
      </w:r>
      <w:r w:rsidR="0052120E">
        <w:t xml:space="preserve"> is</w:t>
      </w:r>
      <w:r w:rsidR="009E705D">
        <w:t xml:space="preserve"> met de situatie in Nederland.</w:t>
      </w:r>
      <w:r>
        <w:t xml:space="preserve"> Dat wordt hieronder verder uitgelegd.</w:t>
      </w:r>
    </w:p>
    <w:p w14:paraId="11508EA1" w14:textId="5A8B54A7" w:rsidR="009E705D" w:rsidRDefault="009E705D">
      <w:pPr>
        <w:rPr>
          <w:b/>
          <w:bCs/>
          <w:sz w:val="28"/>
          <w:szCs w:val="28"/>
        </w:rPr>
      </w:pPr>
      <w:r>
        <w:rPr>
          <w:b/>
          <w:bCs/>
          <w:sz w:val="28"/>
          <w:szCs w:val="28"/>
        </w:rPr>
        <w:t>Hoe vaak overlijden ongeboren en pasgeboren baby’s in Nederland?</w:t>
      </w:r>
    </w:p>
    <w:p w14:paraId="4A0D5148" w14:textId="3A9C1382" w:rsidR="0058670E" w:rsidRDefault="0052120E">
      <w:r>
        <w:rPr>
          <w:noProof/>
          <w:lang w:eastAsia="nl-NL"/>
        </w:rPr>
        <w:drawing>
          <wp:anchor distT="0" distB="0" distL="114300" distR="114300" simplePos="0" relativeHeight="251658240" behindDoc="0" locked="0" layoutInCell="1" allowOverlap="1" wp14:anchorId="71E23B2A" wp14:editId="7C9A393F">
            <wp:simplePos x="0" y="0"/>
            <wp:positionH relativeFrom="column">
              <wp:posOffset>-48423</wp:posOffset>
            </wp:positionH>
            <wp:positionV relativeFrom="paragraph">
              <wp:posOffset>1625162</wp:posOffset>
            </wp:positionV>
            <wp:extent cx="5668971" cy="32400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8971" cy="3240000"/>
                    </a:xfrm>
                    <a:prstGeom prst="rect">
                      <a:avLst/>
                    </a:prstGeom>
                    <a:noFill/>
                  </pic:spPr>
                </pic:pic>
              </a:graphicData>
            </a:graphic>
            <wp14:sizeRelH relativeFrom="page">
              <wp14:pctWidth>0</wp14:pctWidth>
            </wp14:sizeRelH>
            <wp14:sizeRelV relativeFrom="page">
              <wp14:pctHeight>0</wp14:pctHeight>
            </wp14:sizeRelV>
          </wp:anchor>
        </w:drawing>
      </w:r>
      <w:r w:rsidR="0058670E">
        <w:t xml:space="preserve">Het aantal </w:t>
      </w:r>
      <w:r w:rsidR="005C050C">
        <w:t xml:space="preserve">baby’s </w:t>
      </w:r>
      <w:r w:rsidR="0058670E">
        <w:t xml:space="preserve">wat overlijdt in de uitgerekende periode is heel </w:t>
      </w:r>
      <w:r w:rsidR="00665ACC">
        <w:t>laag</w:t>
      </w:r>
      <w:r w:rsidR="0058670E">
        <w:t xml:space="preserve">. Een vergelijkbare studie </w:t>
      </w:r>
      <w:r w:rsidR="00E238F2">
        <w:t xml:space="preserve">als </w:t>
      </w:r>
      <w:r w:rsidR="0058670E">
        <w:t xml:space="preserve"> de SWEPIS-studie </w:t>
      </w:r>
      <w:r w:rsidR="005C050C">
        <w:t xml:space="preserve">is </w:t>
      </w:r>
      <w:r w:rsidR="0058670E">
        <w:t xml:space="preserve">in Nederland </w:t>
      </w:r>
      <w:r w:rsidR="005C050C">
        <w:t>al</w:t>
      </w:r>
      <w:r w:rsidR="0058670E">
        <w:t xml:space="preserve"> uitgevoerd</w:t>
      </w:r>
      <w:r w:rsidR="00953736">
        <w:t>: de INDEX-studie</w:t>
      </w:r>
      <w:r w:rsidR="00FC42F9">
        <w:t>(2)</w:t>
      </w:r>
      <w:r w:rsidR="0058670E">
        <w:t xml:space="preserve">. </w:t>
      </w:r>
      <w:r w:rsidR="00AB2AED">
        <w:t>I</w:t>
      </w:r>
      <w:r w:rsidR="005C050C">
        <w:t xml:space="preserve">n die studie </w:t>
      </w:r>
      <w:r w:rsidR="00D04F16">
        <w:t xml:space="preserve">was </w:t>
      </w:r>
      <w:r w:rsidR="005C050C">
        <w:t>de kans</w:t>
      </w:r>
      <w:r w:rsidR="00D04F16">
        <w:t xml:space="preserve"> op overlijden veel kleiner</w:t>
      </w:r>
      <w:r w:rsidR="005C050C">
        <w:t xml:space="preserve"> dan in de SWEPIS-studie</w:t>
      </w:r>
      <w:r w:rsidR="00D04F16">
        <w:t xml:space="preserve">, namelijk </w:t>
      </w:r>
      <w:r w:rsidR="00E238F2">
        <w:t>1 tot 2 per 1</w:t>
      </w:r>
      <w:r w:rsidR="00050A37">
        <w:t>.</w:t>
      </w:r>
      <w:r w:rsidR="00E238F2">
        <w:t>000 kinderen</w:t>
      </w:r>
      <w:r w:rsidR="00D04F16">
        <w:t xml:space="preserve">. </w:t>
      </w:r>
      <w:r w:rsidR="005C050C">
        <w:t>Dit is in</w:t>
      </w:r>
      <w:r w:rsidR="00D04F16">
        <w:t xml:space="preserve"> onderstaand diagram </w:t>
      </w:r>
      <w:r w:rsidR="005C050C">
        <w:t>afgebeeld</w:t>
      </w:r>
      <w:r w:rsidR="00D04F16">
        <w:t xml:space="preserve">. In de groep </w:t>
      </w:r>
      <w:r w:rsidR="005C050C">
        <w:t xml:space="preserve">zwangeren </w:t>
      </w:r>
      <w:r w:rsidR="00D04F16">
        <w:t xml:space="preserve">die werd ingeleid overleed 1 van de 900 kinderen en bleven 899 </w:t>
      </w:r>
      <w:r w:rsidR="00665ACC">
        <w:t xml:space="preserve">kinderen </w:t>
      </w:r>
      <w:r w:rsidR="00D04F16">
        <w:t xml:space="preserve">leven. In de groep vrouwen waarbij werd afgewacht tot uiterlijk 42 weken overleden 2 kinderen en bleven 899 </w:t>
      </w:r>
      <w:r w:rsidR="00665ACC">
        <w:t xml:space="preserve">kinderen </w:t>
      </w:r>
      <w:r w:rsidR="00D04F16">
        <w:t xml:space="preserve">leven. </w:t>
      </w:r>
      <w:r>
        <w:t xml:space="preserve">De INDEX-studie </w:t>
      </w:r>
      <w:r w:rsidR="00934AE1">
        <w:t>was niet groot genoeg om een</w:t>
      </w:r>
      <w:r w:rsidR="00E238F2">
        <w:t xml:space="preserve"> </w:t>
      </w:r>
      <w:r w:rsidR="00E238F2">
        <w:rPr>
          <w:i/>
          <w:iCs/>
        </w:rPr>
        <w:t>statistisch significant</w:t>
      </w:r>
      <w:r w:rsidR="00934AE1">
        <w:t xml:space="preserve"> verschil in sterfte aan te tonen. Uit deze aantallen kun je dus niet het verschil tussen de groepen afleiden, maar wel dat het aantal </w:t>
      </w:r>
      <w:proofErr w:type="spellStart"/>
      <w:r w:rsidR="00934AE1">
        <w:t>sterftes</w:t>
      </w:r>
      <w:proofErr w:type="spellEnd"/>
      <w:r w:rsidR="00934AE1">
        <w:t xml:space="preserve"> </w:t>
      </w:r>
      <w:r w:rsidR="005C050C">
        <w:t xml:space="preserve">heel </w:t>
      </w:r>
      <w:r w:rsidR="00934AE1">
        <w:t>laag was.</w:t>
      </w:r>
      <w:r w:rsidR="00934AE1" w:rsidRPr="00934AE1">
        <w:rPr>
          <w:noProof/>
          <w:lang w:eastAsia="nl-NL"/>
        </w:rPr>
        <w:t xml:space="preserve"> </w:t>
      </w:r>
    </w:p>
    <w:p w14:paraId="59031C17" w14:textId="0EE2FB44" w:rsidR="00934AE1" w:rsidRDefault="00934AE1">
      <w:pPr>
        <w:rPr>
          <w:b/>
          <w:bCs/>
          <w:sz w:val="28"/>
          <w:szCs w:val="28"/>
        </w:rPr>
      </w:pPr>
      <w:r>
        <w:rPr>
          <w:b/>
          <w:bCs/>
          <w:sz w:val="28"/>
          <w:szCs w:val="28"/>
        </w:rPr>
        <w:br w:type="page"/>
      </w:r>
    </w:p>
    <w:p w14:paraId="26453C3C" w14:textId="2D4B66D9" w:rsidR="00934AE1" w:rsidRDefault="00934AE1">
      <w:r>
        <w:lastRenderedPageBreak/>
        <w:t>Daarnaast is het ook goed om te kijken hoe vaak een</w:t>
      </w:r>
      <w:r w:rsidR="00FC42F9">
        <w:t xml:space="preserve"> andere</w:t>
      </w:r>
      <w:r>
        <w:t xml:space="preserve"> ernstige uitkomst</w:t>
      </w:r>
      <w:r w:rsidR="00FC42F9">
        <w:t>en</w:t>
      </w:r>
      <w:r>
        <w:t xml:space="preserve"> optrad</w:t>
      </w:r>
      <w:r w:rsidR="00FC42F9">
        <w:t>en</w:t>
      </w:r>
      <w:r>
        <w:t xml:space="preserve"> in de INDEX-studie. </w:t>
      </w:r>
      <w:r w:rsidR="005C050C">
        <w:t>Dit is in</w:t>
      </w:r>
      <w:r>
        <w:t xml:space="preserve"> onderstaand diagram </w:t>
      </w:r>
      <w:r w:rsidR="005C050C">
        <w:t>afgebeeld</w:t>
      </w:r>
      <w:r>
        <w:t xml:space="preserve">. </w:t>
      </w:r>
      <w:r w:rsidR="00AB2AED">
        <w:t xml:space="preserve">Het verschil tussen de groep zwangeren die was ingeleid bij 41 weken en de groep waarbij werd afgewacht tot </w:t>
      </w:r>
      <w:r w:rsidR="00FC42F9">
        <w:t xml:space="preserve">uiterlijk </w:t>
      </w:r>
      <w:r w:rsidR="00AB2AED">
        <w:t>42 weken</w:t>
      </w:r>
      <w:r w:rsidR="00E238F2">
        <w:t xml:space="preserve"> was bijna statistisch significant. </w:t>
      </w:r>
      <w:r w:rsidR="00AB2AED">
        <w:t xml:space="preserve"> </w:t>
      </w:r>
    </w:p>
    <w:p w14:paraId="4C4784A7" w14:textId="2986B4EB" w:rsidR="00934AE1" w:rsidRDefault="00934AE1">
      <w:r>
        <w:rPr>
          <w:noProof/>
          <w:lang w:eastAsia="nl-NL"/>
        </w:rPr>
        <w:drawing>
          <wp:inline distT="0" distB="0" distL="0" distR="0" wp14:anchorId="5991FFDD" wp14:editId="72B38418">
            <wp:extent cx="5676733" cy="324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733" cy="3240000"/>
                    </a:xfrm>
                    <a:prstGeom prst="rect">
                      <a:avLst/>
                    </a:prstGeom>
                    <a:noFill/>
                  </pic:spPr>
                </pic:pic>
              </a:graphicData>
            </a:graphic>
          </wp:inline>
        </w:drawing>
      </w:r>
    </w:p>
    <w:p w14:paraId="09E86D7F" w14:textId="54E4F853" w:rsidR="00934AE1" w:rsidRPr="00934AE1" w:rsidRDefault="005C050C">
      <w:r>
        <w:t xml:space="preserve">Uit </w:t>
      </w:r>
      <w:r w:rsidR="00FC42F9">
        <w:t>de gegevens van alle bevallingen in Nederland</w:t>
      </w:r>
      <w:r>
        <w:t xml:space="preserve"> komt dat de kans </w:t>
      </w:r>
      <w:r w:rsidR="00934AE1">
        <w:t xml:space="preserve">op overlijden </w:t>
      </w:r>
      <w:r>
        <w:t xml:space="preserve">een beetje </w:t>
      </w:r>
      <w:r w:rsidR="00934AE1">
        <w:t xml:space="preserve">stijgt </w:t>
      </w:r>
      <w:r w:rsidR="00953736">
        <w:t>na 40 weken</w:t>
      </w:r>
      <w:r>
        <w:t xml:space="preserve"> zwangerschap</w:t>
      </w:r>
      <w:r w:rsidR="00953736">
        <w:t xml:space="preserve">, maar </w:t>
      </w:r>
      <w:r w:rsidR="00FC42F9">
        <w:t xml:space="preserve">dat </w:t>
      </w:r>
      <w:r>
        <w:t xml:space="preserve">het </w:t>
      </w:r>
      <w:r w:rsidR="00953736">
        <w:t>nog steeds heel laag</w:t>
      </w:r>
      <w:r w:rsidR="00FC42F9">
        <w:t xml:space="preserve"> is</w:t>
      </w:r>
      <w:r w:rsidR="00953736">
        <w:t xml:space="preserve">. In week 39 is het risico op overlijden van het ongeboren </w:t>
      </w:r>
      <w:r w:rsidR="00A97654">
        <w:t>baby</w:t>
      </w:r>
      <w:r w:rsidR="00953736">
        <w:t xml:space="preserve"> in Nederland </w:t>
      </w:r>
      <w:r w:rsidR="00E238F2">
        <w:t xml:space="preserve"> 3 per 10.000 kinderen</w:t>
      </w:r>
      <w:r w:rsidR="00953736">
        <w:t xml:space="preserve">, in week 40 is het </w:t>
      </w:r>
      <w:r w:rsidR="00E238F2">
        <w:t>5 per 10.000</w:t>
      </w:r>
      <w:r w:rsidR="00050A37">
        <w:t xml:space="preserve">, </w:t>
      </w:r>
      <w:r w:rsidR="00953736">
        <w:t>in week 41 is het</w:t>
      </w:r>
      <w:r w:rsidR="00050A37">
        <w:t xml:space="preserve"> 8 per 10.000</w:t>
      </w:r>
      <w:r w:rsidR="00953736">
        <w:t xml:space="preserve"> en vanaf 42 weken is het risico </w:t>
      </w:r>
      <w:r w:rsidR="00050A37">
        <w:t>11 per 10.000 kinderen</w:t>
      </w:r>
      <w:r w:rsidR="00FC42F9">
        <w:t xml:space="preserve"> (3)</w:t>
      </w:r>
      <w:r w:rsidR="00953736">
        <w:t xml:space="preserve">. Aan het einde van </w:t>
      </w:r>
      <w:r>
        <w:t xml:space="preserve">dit </w:t>
      </w:r>
      <w:r w:rsidR="00953736">
        <w:t>document zijn deze cijfers ook als diagrammen toegevoegd.</w:t>
      </w:r>
    </w:p>
    <w:p w14:paraId="7E21E13D" w14:textId="758FDF96" w:rsidR="009E705D" w:rsidRDefault="009E705D">
      <w:pPr>
        <w:rPr>
          <w:b/>
          <w:bCs/>
          <w:sz w:val="28"/>
          <w:szCs w:val="28"/>
        </w:rPr>
      </w:pPr>
      <w:r>
        <w:rPr>
          <w:b/>
          <w:bCs/>
          <w:sz w:val="28"/>
          <w:szCs w:val="28"/>
        </w:rPr>
        <w:t xml:space="preserve">Wat </w:t>
      </w:r>
      <w:r w:rsidR="005C050C">
        <w:rPr>
          <w:b/>
          <w:bCs/>
          <w:sz w:val="28"/>
          <w:szCs w:val="28"/>
        </w:rPr>
        <w:t xml:space="preserve">kan </w:t>
      </w:r>
      <w:r>
        <w:rPr>
          <w:b/>
          <w:bCs/>
          <w:sz w:val="28"/>
          <w:szCs w:val="28"/>
        </w:rPr>
        <w:t xml:space="preserve">de reden zijn van het verschil </w:t>
      </w:r>
      <w:r w:rsidR="00665ACC">
        <w:rPr>
          <w:b/>
          <w:bCs/>
          <w:sz w:val="28"/>
          <w:szCs w:val="28"/>
        </w:rPr>
        <w:t>tussen Zweden en</w:t>
      </w:r>
      <w:r>
        <w:rPr>
          <w:b/>
          <w:bCs/>
          <w:sz w:val="28"/>
          <w:szCs w:val="28"/>
        </w:rPr>
        <w:t xml:space="preserve"> Nederland?</w:t>
      </w:r>
    </w:p>
    <w:p w14:paraId="1EEB1422" w14:textId="1B75BB25" w:rsidR="003A556E" w:rsidRDefault="003A556E" w:rsidP="00B066B4">
      <w:r>
        <w:t xml:space="preserve">Er is een verschil </w:t>
      </w:r>
      <w:r w:rsidR="0058670E">
        <w:t xml:space="preserve">tussen Zweden en Nederland </w:t>
      </w:r>
      <w:r w:rsidR="00E00244">
        <w:t>wanneer je een echo krijgt</w:t>
      </w:r>
      <w:r w:rsidR="00C65B25">
        <w:t xml:space="preserve">, </w:t>
      </w:r>
      <w:r w:rsidR="00E00244">
        <w:t xml:space="preserve">hoe vaak je een </w:t>
      </w:r>
      <w:r w:rsidR="00CE5D41">
        <w:t>controle</w:t>
      </w:r>
      <w:r w:rsidR="00E00244">
        <w:t xml:space="preserve"> krijgt na 41 weken</w:t>
      </w:r>
      <w:r w:rsidR="0058670E">
        <w:t xml:space="preserve"> en in het aantal inleidingen.</w:t>
      </w:r>
    </w:p>
    <w:p w14:paraId="5C305F8E" w14:textId="1AD1B278" w:rsidR="000279F4" w:rsidRDefault="000279F4" w:rsidP="00B066B4">
      <w:r>
        <w:t xml:space="preserve">Om </w:t>
      </w:r>
      <w:r w:rsidR="00CE5D41">
        <w:t>de uitgerekende datum te berekenen,</w:t>
      </w:r>
      <w:r w:rsidR="00CD04E5">
        <w:t xml:space="preserve"> </w:t>
      </w:r>
      <w:r>
        <w:t>is het beter om vroeg in de zwangerschap een echo te maken. In Nederland</w:t>
      </w:r>
      <w:r w:rsidR="00CD04E5">
        <w:t xml:space="preserve"> krijg je </w:t>
      </w:r>
      <w:r w:rsidR="00CE5D41">
        <w:t xml:space="preserve">hiervoor </w:t>
      </w:r>
      <w:r w:rsidR="00CD04E5">
        <w:t xml:space="preserve">een echo als je </w:t>
      </w:r>
      <w:r w:rsidR="00CE5D41">
        <w:t xml:space="preserve">ongeveer </w:t>
      </w:r>
      <w:r>
        <w:t>10 weken</w:t>
      </w:r>
      <w:r w:rsidR="00CD04E5">
        <w:t xml:space="preserve"> zwanger bent</w:t>
      </w:r>
      <w:r>
        <w:t>. In Zweden krijgen zwangere</w:t>
      </w:r>
      <w:r w:rsidR="00CD04E5">
        <w:t xml:space="preserve"> vrouwen meestal </w:t>
      </w:r>
      <w:r w:rsidR="00CE5D41">
        <w:t xml:space="preserve">pas </w:t>
      </w:r>
      <w:r w:rsidR="00CD04E5">
        <w:t>rond de 18 weken een echo</w:t>
      </w:r>
      <w:r w:rsidR="00CE5D41">
        <w:t xml:space="preserve"> om de uitgerekende datum te berekenen</w:t>
      </w:r>
      <w:r w:rsidR="00CD04E5">
        <w:t xml:space="preserve">. Deze echo is minder nauwkeurig. Het kan dus zijn dat sommige Zweedse vrouwen minder weken zwanger waren of juist meer dan 42 weken. </w:t>
      </w:r>
    </w:p>
    <w:p w14:paraId="287D0A7D" w14:textId="64849EED" w:rsidR="000D320C" w:rsidRDefault="002D6906" w:rsidP="00B066B4">
      <w:r>
        <w:t>I</w:t>
      </w:r>
      <w:r w:rsidR="000D320C">
        <w:t xml:space="preserve">n het onderzoek in Zweden </w:t>
      </w:r>
      <w:r>
        <w:t xml:space="preserve">werden </w:t>
      </w:r>
      <w:r w:rsidR="000D320C">
        <w:t>weinig of geen zwangerschapscontroles gedaan tussen 41 en 42 weken zwangerschap. In Nederland worden vrouwen vaker geco</w:t>
      </w:r>
      <w:r w:rsidR="00AB2AED">
        <w:t>ntroleerd tussen 41 en 42 weken</w:t>
      </w:r>
      <w:r w:rsidR="000D320C">
        <w:t xml:space="preserve">. Hierdoor kunnen problemen eerder en beter herkend worden. </w:t>
      </w:r>
      <w:r w:rsidR="00E238F2">
        <w:t xml:space="preserve">Vrouwen </w:t>
      </w:r>
      <w:r w:rsidR="000D320C">
        <w:t xml:space="preserve">worden in Nederland tussen 41 en 42 weken </w:t>
      </w:r>
      <w:r w:rsidR="00E238F2">
        <w:t xml:space="preserve">vaker </w:t>
      </w:r>
      <w:r w:rsidR="000D320C">
        <w:t xml:space="preserve"> ingeleid </w:t>
      </w:r>
      <w:r>
        <w:t>als men denkt dat het niet goed gaat met de moeder of de baby</w:t>
      </w:r>
      <w:r w:rsidR="000D320C">
        <w:t xml:space="preserve">. In de SWEPIS-studie </w:t>
      </w:r>
      <w:r w:rsidR="005C050C">
        <w:t>werd</w:t>
      </w:r>
      <w:r w:rsidR="000D320C">
        <w:t xml:space="preserve"> 12% van de </w:t>
      </w:r>
      <w:r w:rsidR="005C050C">
        <w:t>zwangeren</w:t>
      </w:r>
      <w:r w:rsidR="00A97654">
        <w:t xml:space="preserve"> ingeleid</w:t>
      </w:r>
      <w:r w:rsidR="000D320C">
        <w:t>, terwijl dat in de Nederlandse INDEX-studie bij 25%</w:t>
      </w:r>
      <w:r w:rsidR="005C050C">
        <w:t xml:space="preserve"> van de zwangeren</w:t>
      </w:r>
      <w:r w:rsidR="000D320C">
        <w:t xml:space="preserve"> gebeurde.</w:t>
      </w:r>
    </w:p>
    <w:p w14:paraId="20D33ADC" w14:textId="6F987994" w:rsidR="00B934B4" w:rsidRDefault="00B934B4" w:rsidP="00B066B4">
      <w:pPr>
        <w:rPr>
          <w:b/>
          <w:bCs/>
          <w:sz w:val="28"/>
          <w:szCs w:val="28"/>
        </w:rPr>
      </w:pPr>
      <w:r>
        <w:rPr>
          <w:b/>
          <w:bCs/>
          <w:sz w:val="28"/>
          <w:szCs w:val="28"/>
        </w:rPr>
        <w:lastRenderedPageBreak/>
        <w:t>Kan ik me het beste laten inleiden</w:t>
      </w:r>
      <w:r w:rsidR="00671F88">
        <w:rPr>
          <w:b/>
          <w:bCs/>
          <w:sz w:val="28"/>
          <w:szCs w:val="28"/>
        </w:rPr>
        <w:t xml:space="preserve"> bij 41 weken</w:t>
      </w:r>
      <w:r>
        <w:rPr>
          <w:b/>
          <w:bCs/>
          <w:sz w:val="28"/>
          <w:szCs w:val="28"/>
        </w:rPr>
        <w:t>?</w:t>
      </w:r>
    </w:p>
    <w:p w14:paraId="0ED049C1" w14:textId="2C59CDFA" w:rsidR="003A556E" w:rsidRDefault="000D320C" w:rsidP="00B066B4">
      <w:r>
        <w:t xml:space="preserve">Als een ongeboren </w:t>
      </w:r>
      <w:r w:rsidR="00A97654">
        <w:t>baby</w:t>
      </w:r>
      <w:r>
        <w:t xml:space="preserve"> </w:t>
      </w:r>
      <w:r w:rsidR="00E005C9">
        <w:t xml:space="preserve">in de buik gaat </w:t>
      </w:r>
      <w:r>
        <w:t xml:space="preserve">overlijden na 41 weken, dan zal </w:t>
      </w:r>
      <w:r w:rsidR="00E005C9">
        <w:t xml:space="preserve">een inleiding bij 41 weken </w:t>
      </w:r>
      <w:r w:rsidR="00A97654">
        <w:t>de</w:t>
      </w:r>
      <w:r w:rsidR="00E238F2">
        <w:t>ze</w:t>
      </w:r>
      <w:r w:rsidR="00A97654">
        <w:t xml:space="preserve"> sterfte</w:t>
      </w:r>
      <w:r w:rsidR="00E005C9">
        <w:t xml:space="preserve"> </w:t>
      </w:r>
      <w:r w:rsidR="00C44E08">
        <w:t xml:space="preserve">meestal </w:t>
      </w:r>
      <w:r w:rsidR="00E005C9">
        <w:t>kunnen voorkomen</w:t>
      </w:r>
      <w:r w:rsidR="00C44E08">
        <w:t>. Heel soms kan de baby toch nog overlijden voor, tijdens of na de bevalling</w:t>
      </w:r>
      <w:r w:rsidR="00E005C9">
        <w:t xml:space="preserve">. </w:t>
      </w:r>
      <w:r w:rsidR="00A97654">
        <w:t>Maar, h</w:t>
      </w:r>
      <w:r w:rsidR="00E005C9">
        <w:t xml:space="preserve">et aantal kinderen </w:t>
      </w:r>
      <w:r w:rsidR="00E238F2">
        <w:t>d</w:t>
      </w:r>
      <w:r w:rsidR="00E005C9">
        <w:t xml:space="preserve">at overlijdt na 41 weken is heel klein. Er zullen heel veel </w:t>
      </w:r>
      <w:r w:rsidR="00671F88">
        <w:t xml:space="preserve">zwangeren </w:t>
      </w:r>
      <w:r w:rsidR="00E005C9">
        <w:t>ingeleid moeten worden om</w:t>
      </w:r>
      <w:r w:rsidR="00671F88">
        <w:t xml:space="preserve"> 1 babysterfte te voorkomen</w:t>
      </w:r>
      <w:r w:rsidR="0058670E">
        <w:t xml:space="preserve"> en inleidingen kunnen niet </w:t>
      </w:r>
      <w:r w:rsidR="00AB4E66">
        <w:t>á</w:t>
      </w:r>
      <w:r w:rsidR="0058670E" w:rsidRPr="00AB4E66">
        <w:t>lle</w:t>
      </w:r>
      <w:r w:rsidR="0058670E">
        <w:t xml:space="preserve"> </w:t>
      </w:r>
      <w:proofErr w:type="spellStart"/>
      <w:r w:rsidR="0058670E">
        <w:t>sterfte</w:t>
      </w:r>
      <w:r w:rsidR="00665ACC">
        <w:t>s</w:t>
      </w:r>
      <w:proofErr w:type="spellEnd"/>
      <w:r w:rsidR="0058670E">
        <w:t xml:space="preserve"> voorkomen</w:t>
      </w:r>
      <w:r w:rsidR="00E005C9">
        <w:t xml:space="preserve">. </w:t>
      </w:r>
      <w:r w:rsidR="00671F88">
        <w:t xml:space="preserve">Inleiden is niet zonder risico en heeft nadelen. </w:t>
      </w:r>
      <w:r w:rsidR="00E005C9">
        <w:t>Al</w:t>
      </w:r>
      <w:r w:rsidR="00671F88">
        <w:t>l</w:t>
      </w:r>
      <w:r w:rsidR="00A97654">
        <w:t>e</w:t>
      </w:r>
      <w:r w:rsidR="00E005C9">
        <w:t xml:space="preserve"> </w:t>
      </w:r>
      <w:r w:rsidR="00671F88">
        <w:t xml:space="preserve">zwangeren </w:t>
      </w:r>
      <w:r w:rsidR="00E005C9">
        <w:t xml:space="preserve">en </w:t>
      </w:r>
      <w:r w:rsidR="00671F88">
        <w:t>baby’s</w:t>
      </w:r>
      <w:r w:rsidR="00E005C9">
        <w:t xml:space="preserve"> </w:t>
      </w:r>
      <w:r w:rsidR="00671F88">
        <w:t>die worden ingeleid</w:t>
      </w:r>
      <w:r w:rsidR="00E005C9">
        <w:t xml:space="preserve"> ondergaan de nadelen en risico’s van een inleiding. Daarom moet bij deze keuze altijd goed afgewogen worden of </w:t>
      </w:r>
      <w:r w:rsidR="00AB4E66">
        <w:t>de kans</w:t>
      </w:r>
      <w:r w:rsidR="00E005C9">
        <w:t xml:space="preserve"> op </w:t>
      </w:r>
      <w:r w:rsidR="00A97654">
        <w:t xml:space="preserve">sterfte </w:t>
      </w:r>
      <w:r w:rsidR="00E005C9">
        <w:t>zo groot is dat</w:t>
      </w:r>
      <w:r w:rsidR="00A97654">
        <w:t xml:space="preserve"> dit tegen </w:t>
      </w:r>
      <w:r w:rsidR="00E005C9">
        <w:t xml:space="preserve">de nadelen van een inleiding </w:t>
      </w:r>
      <w:r w:rsidR="00A97654">
        <w:t>opweegt</w:t>
      </w:r>
      <w:r w:rsidR="00E005C9">
        <w:t>.</w:t>
      </w:r>
      <w:r w:rsidR="00953736">
        <w:t xml:space="preserve"> </w:t>
      </w:r>
      <w:r w:rsidR="00D552F5">
        <w:t xml:space="preserve">De beroepsverenigingen van verloskundigen en gynaecologen (de KNOV en NVOG) werken op dit moment aan een richtlijn over het informeren van vrouwen over die voor- en nadelen. </w:t>
      </w:r>
    </w:p>
    <w:p w14:paraId="2CAF88E2" w14:textId="504E266E" w:rsidR="00953736" w:rsidRDefault="00953736" w:rsidP="00B066B4">
      <w:pPr>
        <w:rPr>
          <w:b/>
          <w:bCs/>
          <w:sz w:val="28"/>
          <w:szCs w:val="28"/>
        </w:rPr>
      </w:pPr>
      <w:r>
        <w:rPr>
          <w:b/>
          <w:bCs/>
          <w:sz w:val="28"/>
          <w:szCs w:val="28"/>
        </w:rPr>
        <w:t>Wat zijn de nadelen van een inleiding?</w:t>
      </w:r>
    </w:p>
    <w:p w14:paraId="61251749" w14:textId="41FF437E" w:rsidR="00953736" w:rsidRDefault="00C527DA" w:rsidP="00B066B4">
      <w:r>
        <w:t xml:space="preserve">Een inleiding kan lang duren en betekent niet altijd dat je meteen dezelfde dag bevalt. De bevalling verloopt ook anders, omdat de weeën kunstmatig worden opgewekt. De bevalling duurt daardoor langer en wordt door de meeste </w:t>
      </w:r>
      <w:r w:rsidR="00A97654">
        <w:t xml:space="preserve">zwangeren </w:t>
      </w:r>
      <w:r>
        <w:t xml:space="preserve">als pijnlijker </w:t>
      </w:r>
      <w:r w:rsidR="00B54239">
        <w:t xml:space="preserve">en heftiger </w:t>
      </w:r>
      <w:r>
        <w:t>ervaren.</w:t>
      </w:r>
      <w:r w:rsidR="00665ACC">
        <w:t xml:space="preserve"> </w:t>
      </w:r>
      <w:r w:rsidR="00A97654">
        <w:t xml:space="preserve">Zwangeren </w:t>
      </w:r>
      <w:r>
        <w:t>hebben dan ook vaker behoefte aan pijnbestrijding als een ruggenprik</w:t>
      </w:r>
      <w:r w:rsidR="00353D72">
        <w:t xml:space="preserve">. Ook kijken </w:t>
      </w:r>
      <w:r>
        <w:t>vrouwen vaker negatief terug op de bevalling dan wanneer de bevalling spontaan begint. Ook komen gevoelens van angst en depressie na een inleiding vaker voor.</w:t>
      </w:r>
    </w:p>
    <w:p w14:paraId="0FBF9866" w14:textId="0106379F" w:rsidR="00C527DA" w:rsidRDefault="00C527DA" w:rsidP="00B066B4">
      <w:r>
        <w:t>Een inleiding betekent bijna altijd dat je vanaf het begin van de bevalling in het ziekenhuis bent en begeleid wordt door een klinisch verloskundige of arts-assistent die onder verantwoordelijkheid van een gynaecoloog werk</w:t>
      </w:r>
      <w:r w:rsidR="00665ACC">
        <w:t>t</w:t>
      </w:r>
      <w:r>
        <w:t>. Je kunt dus geen spontaan begin van de bevalling thuis afwachten en niet meer kiezen waar je wilt bevallen</w:t>
      </w:r>
      <w:r w:rsidR="00665ACC">
        <w:t>. D</w:t>
      </w:r>
      <w:r>
        <w:t xml:space="preserve">e verloskundige waar je mogelijk een band mee hebt opgebouwd </w:t>
      </w:r>
      <w:r w:rsidR="00665ACC">
        <w:t xml:space="preserve">zal </w:t>
      </w:r>
      <w:r>
        <w:t xml:space="preserve">je niet begeleiden. Tijdens een inleiding worden de weeën en harttonen van het kindje gecontroleerd met een continue hartfilmpje en je krijgt een infuus waardoor je </w:t>
      </w:r>
      <w:r w:rsidR="00A97654">
        <w:t>minder</w:t>
      </w:r>
      <w:r>
        <w:t xml:space="preserve"> bewegingsvrijheid</w:t>
      </w:r>
      <w:r w:rsidR="00A97654">
        <w:t xml:space="preserve"> hebt</w:t>
      </w:r>
      <w:r>
        <w:t>. Er zal ook vaker</w:t>
      </w:r>
      <w:r w:rsidR="00665ACC">
        <w:t xml:space="preserve"> een</w:t>
      </w:r>
      <w:r>
        <w:t xml:space="preserve"> inwendig onderzoek plaatsvinden.</w:t>
      </w:r>
    </w:p>
    <w:p w14:paraId="0AB8F3FA" w14:textId="7DB2EF91" w:rsidR="00C527DA" w:rsidRDefault="00C527DA" w:rsidP="00B066B4">
      <w:r>
        <w:t xml:space="preserve">Tot slot heeft het hormoon oxytocine, waarmee de weeën worden opgewekt, invloed op veel andere processen in het lichaam. Het is nog niet duidelijk wat hier de gevolgen van zijn op de korte en lange termijn. Het kan invloed hebben op </w:t>
      </w:r>
      <w:r w:rsidR="00C44E08">
        <w:t>d</w:t>
      </w:r>
      <w:r w:rsidR="00A97654">
        <w:t>e</w:t>
      </w:r>
      <w:r>
        <w:t xml:space="preserve"> hechting</w:t>
      </w:r>
      <w:r w:rsidR="00671F88">
        <w:t xml:space="preserve"> met je baby</w:t>
      </w:r>
      <w:r>
        <w:t xml:space="preserve"> en onderzoek laat zien dat </w:t>
      </w:r>
      <w:r w:rsidR="00C44E08">
        <w:t xml:space="preserve">kinderen </w:t>
      </w:r>
      <w:r>
        <w:t xml:space="preserve"> </w:t>
      </w:r>
      <w:r w:rsidR="00665ACC">
        <w:t>mogelijk</w:t>
      </w:r>
      <w:r>
        <w:t xml:space="preserve"> vaker chronische ziekten en infecties </w:t>
      </w:r>
      <w:r w:rsidR="00C44E08">
        <w:t xml:space="preserve"> krijgen in de jaren na een </w:t>
      </w:r>
      <w:r>
        <w:t>inleid</w:t>
      </w:r>
      <w:r w:rsidR="00C44E08">
        <w:t>ing</w:t>
      </w:r>
      <w:r>
        <w:t xml:space="preserve"> met oxytocine.</w:t>
      </w:r>
    </w:p>
    <w:p w14:paraId="4222BDB1" w14:textId="77777777" w:rsidR="00665ACC" w:rsidRDefault="00665ACC">
      <w:pPr>
        <w:rPr>
          <w:b/>
          <w:bCs/>
          <w:sz w:val="28"/>
          <w:szCs w:val="28"/>
        </w:rPr>
      </w:pPr>
      <w:r>
        <w:rPr>
          <w:b/>
          <w:bCs/>
          <w:sz w:val="28"/>
          <w:szCs w:val="28"/>
        </w:rPr>
        <w:br w:type="page"/>
      </w:r>
    </w:p>
    <w:p w14:paraId="5B44A655" w14:textId="4F105F3E" w:rsidR="009E705D" w:rsidRPr="009E705D" w:rsidRDefault="009E705D">
      <w:pPr>
        <w:rPr>
          <w:b/>
          <w:bCs/>
          <w:sz w:val="28"/>
          <w:szCs w:val="28"/>
        </w:rPr>
      </w:pPr>
      <w:r w:rsidRPr="009E705D">
        <w:rPr>
          <w:b/>
          <w:bCs/>
          <w:sz w:val="28"/>
          <w:szCs w:val="28"/>
        </w:rPr>
        <w:lastRenderedPageBreak/>
        <w:t>Wat waren andere uitkomsten van dit onderzoek?</w:t>
      </w:r>
    </w:p>
    <w:p w14:paraId="1AEEED9C" w14:textId="0622E9A7" w:rsidR="009E705D" w:rsidRPr="009E705D" w:rsidRDefault="009E705D">
      <w:r>
        <w:t xml:space="preserve">In deze tabel staat beschreven wat de belangrijkste andere uitkomsten waren van </w:t>
      </w:r>
      <w:r w:rsidR="00C82774">
        <w:t>de SWEPIS-studie.</w:t>
      </w:r>
    </w:p>
    <w:tbl>
      <w:tblPr>
        <w:tblStyle w:val="Onopgemaaktetabel41"/>
        <w:tblW w:w="9171" w:type="dxa"/>
        <w:tblLook w:val="04A0" w:firstRow="1" w:lastRow="0" w:firstColumn="1" w:lastColumn="0" w:noHBand="0" w:noVBand="1"/>
      </w:tblPr>
      <w:tblGrid>
        <w:gridCol w:w="3964"/>
        <w:gridCol w:w="2603"/>
        <w:gridCol w:w="2604"/>
      </w:tblGrid>
      <w:tr w:rsidR="009E705D" w:rsidRPr="007962D7" w14:paraId="1E08A1FB" w14:textId="77777777" w:rsidTr="00E00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9244939" w14:textId="77777777" w:rsidR="009E705D" w:rsidRPr="007962D7" w:rsidRDefault="009E705D" w:rsidP="00830EBD">
            <w:pPr>
              <w:rPr>
                <w:b w:val="0"/>
              </w:rPr>
            </w:pPr>
          </w:p>
        </w:tc>
        <w:tc>
          <w:tcPr>
            <w:tcW w:w="2603" w:type="dxa"/>
          </w:tcPr>
          <w:p w14:paraId="1019DD90" w14:textId="77777777" w:rsidR="009E705D" w:rsidRDefault="009E705D" w:rsidP="00D0486B">
            <w:pPr>
              <w:jc w:val="center"/>
              <w:cnfStyle w:val="100000000000" w:firstRow="1" w:lastRow="0" w:firstColumn="0" w:lastColumn="0" w:oddVBand="0" w:evenVBand="0" w:oddHBand="0" w:evenHBand="0" w:firstRowFirstColumn="0" w:firstRowLastColumn="0" w:lastRowFirstColumn="0" w:lastRowLastColumn="0"/>
              <w:rPr>
                <w:b w:val="0"/>
              </w:rPr>
            </w:pPr>
            <w:r w:rsidRPr="007962D7">
              <w:t>Inleiding bij 41 weken</w:t>
            </w:r>
          </w:p>
          <w:p w14:paraId="4B5591B0" w14:textId="77777777" w:rsidR="009E705D" w:rsidRPr="007962D7" w:rsidRDefault="009E705D" w:rsidP="00D0486B">
            <w:pPr>
              <w:jc w:val="center"/>
              <w:cnfStyle w:val="100000000000" w:firstRow="1" w:lastRow="0" w:firstColumn="0" w:lastColumn="0" w:oddVBand="0" w:evenVBand="0" w:oddHBand="0" w:evenHBand="0" w:firstRowFirstColumn="0" w:firstRowLastColumn="0" w:lastRowFirstColumn="0" w:lastRowLastColumn="0"/>
              <w:rPr>
                <w:b w:val="0"/>
              </w:rPr>
            </w:pPr>
          </w:p>
        </w:tc>
        <w:tc>
          <w:tcPr>
            <w:tcW w:w="2604" w:type="dxa"/>
          </w:tcPr>
          <w:p w14:paraId="2CC2E581" w14:textId="1CA43E95" w:rsidR="009E705D" w:rsidRPr="007962D7" w:rsidRDefault="00D04F16" w:rsidP="00D0486B">
            <w:pPr>
              <w:jc w:val="center"/>
              <w:cnfStyle w:val="100000000000" w:firstRow="1" w:lastRow="0" w:firstColumn="0" w:lastColumn="0" w:oddVBand="0" w:evenVBand="0" w:oddHBand="0" w:evenHBand="0" w:firstRowFirstColumn="0" w:firstRowLastColumn="0" w:lastRowFirstColumn="0" w:lastRowLastColumn="0"/>
              <w:rPr>
                <w:b w:val="0"/>
              </w:rPr>
            </w:pPr>
            <w:r>
              <w:t>Afwachten tot uiterlijk</w:t>
            </w:r>
            <w:r w:rsidR="009E705D" w:rsidRPr="007962D7">
              <w:t xml:space="preserve"> 42 weken</w:t>
            </w:r>
          </w:p>
        </w:tc>
      </w:tr>
      <w:tr w:rsidR="009E705D" w:rsidRPr="007606E2" w14:paraId="3D59A404" w14:textId="77777777" w:rsidTr="00E00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C3AE20A" w14:textId="7DFE5471" w:rsidR="009E705D" w:rsidRDefault="009E705D" w:rsidP="00830EBD">
            <w:pPr>
              <w:rPr>
                <w:b w:val="0"/>
              </w:rPr>
            </w:pPr>
            <w:r w:rsidRPr="007606E2">
              <w:t>Totaal</w:t>
            </w:r>
            <w:r w:rsidR="00F06098">
              <w:t xml:space="preserve"> aantal vrouwen</w:t>
            </w:r>
          </w:p>
          <w:p w14:paraId="09FE7AE5" w14:textId="77777777" w:rsidR="009E705D" w:rsidRPr="007606E2" w:rsidRDefault="009E705D" w:rsidP="00830EBD">
            <w:pPr>
              <w:rPr>
                <w:b w:val="0"/>
              </w:rPr>
            </w:pPr>
          </w:p>
        </w:tc>
        <w:tc>
          <w:tcPr>
            <w:tcW w:w="2603" w:type="dxa"/>
          </w:tcPr>
          <w:p w14:paraId="02BD4DD4" w14:textId="08ABC75B" w:rsidR="009E705D" w:rsidRPr="007606E2" w:rsidRDefault="009E705D" w:rsidP="00D0486B">
            <w:pPr>
              <w:jc w:val="center"/>
              <w:cnfStyle w:val="000000100000" w:firstRow="0" w:lastRow="0" w:firstColumn="0" w:lastColumn="0" w:oddVBand="0" w:evenVBand="0" w:oddHBand="1" w:evenHBand="0" w:firstRowFirstColumn="0" w:firstRowLastColumn="0" w:lastRowFirstColumn="0" w:lastRowLastColumn="0"/>
              <w:rPr>
                <w:b/>
              </w:rPr>
            </w:pPr>
            <w:r w:rsidRPr="007606E2">
              <w:rPr>
                <w:b/>
              </w:rPr>
              <w:t>1</w:t>
            </w:r>
            <w:r>
              <w:rPr>
                <w:b/>
              </w:rPr>
              <w:t>.</w:t>
            </w:r>
            <w:r w:rsidRPr="007606E2">
              <w:rPr>
                <w:b/>
              </w:rPr>
              <w:t>381</w:t>
            </w:r>
          </w:p>
        </w:tc>
        <w:tc>
          <w:tcPr>
            <w:tcW w:w="2604" w:type="dxa"/>
          </w:tcPr>
          <w:p w14:paraId="335F7F0E" w14:textId="410B9865" w:rsidR="009E705D" w:rsidRPr="007606E2" w:rsidRDefault="009E705D" w:rsidP="00D0486B">
            <w:pPr>
              <w:jc w:val="center"/>
              <w:cnfStyle w:val="000000100000" w:firstRow="0" w:lastRow="0" w:firstColumn="0" w:lastColumn="0" w:oddVBand="0" w:evenVBand="0" w:oddHBand="1" w:evenHBand="0" w:firstRowFirstColumn="0" w:firstRowLastColumn="0" w:lastRowFirstColumn="0" w:lastRowLastColumn="0"/>
              <w:rPr>
                <w:b/>
              </w:rPr>
            </w:pPr>
            <w:r w:rsidRPr="007606E2">
              <w:rPr>
                <w:b/>
              </w:rPr>
              <w:t>1</w:t>
            </w:r>
            <w:r>
              <w:rPr>
                <w:b/>
              </w:rPr>
              <w:t>.</w:t>
            </w:r>
            <w:r w:rsidRPr="007606E2">
              <w:rPr>
                <w:b/>
              </w:rPr>
              <w:t>379</w:t>
            </w:r>
          </w:p>
        </w:tc>
      </w:tr>
      <w:tr w:rsidR="009E705D" w:rsidRPr="00E005C9" w14:paraId="5D22B578" w14:textId="77777777" w:rsidTr="00E005C9">
        <w:tc>
          <w:tcPr>
            <w:cnfStyle w:val="001000000000" w:firstRow="0" w:lastRow="0" w:firstColumn="1" w:lastColumn="0" w:oddVBand="0" w:evenVBand="0" w:oddHBand="0" w:evenHBand="0" w:firstRowFirstColumn="0" w:firstRowLastColumn="0" w:lastRowFirstColumn="0" w:lastRowLastColumn="0"/>
            <w:tcW w:w="3964" w:type="dxa"/>
          </w:tcPr>
          <w:p w14:paraId="32F61023" w14:textId="5FAA04AE" w:rsidR="009E705D" w:rsidRPr="00E005C9" w:rsidRDefault="009E705D" w:rsidP="00830EBD">
            <w:pPr>
              <w:rPr>
                <w:b w:val="0"/>
                <w:bCs w:val="0"/>
              </w:rPr>
            </w:pPr>
            <w:r w:rsidRPr="00E005C9">
              <w:rPr>
                <w:b w:val="0"/>
                <w:bCs w:val="0"/>
              </w:rPr>
              <w:t>Spontaan begin van de bevalling voordat de inleiding was gestart</w:t>
            </w:r>
            <w:r w:rsidR="00570831">
              <w:rPr>
                <w:b w:val="0"/>
                <w:bCs w:val="0"/>
              </w:rPr>
              <w:br/>
            </w:r>
          </w:p>
        </w:tc>
        <w:tc>
          <w:tcPr>
            <w:tcW w:w="2603" w:type="dxa"/>
          </w:tcPr>
          <w:p w14:paraId="24D5CAA9" w14:textId="77777777" w:rsidR="009E705D" w:rsidRPr="00E005C9" w:rsidRDefault="009E705D" w:rsidP="00D0486B">
            <w:pPr>
              <w:jc w:val="center"/>
              <w:cnfStyle w:val="000000000000" w:firstRow="0" w:lastRow="0" w:firstColumn="0" w:lastColumn="0" w:oddVBand="0" w:evenVBand="0" w:oddHBand="0" w:evenHBand="0" w:firstRowFirstColumn="0" w:firstRowLastColumn="0" w:lastRowFirstColumn="0" w:lastRowLastColumn="0"/>
            </w:pPr>
            <w:r w:rsidRPr="00E005C9">
              <w:t>14%</w:t>
            </w:r>
          </w:p>
        </w:tc>
        <w:tc>
          <w:tcPr>
            <w:tcW w:w="2604" w:type="dxa"/>
          </w:tcPr>
          <w:p w14:paraId="38CC74DC" w14:textId="77777777" w:rsidR="009E705D" w:rsidRPr="00E005C9" w:rsidRDefault="009E705D" w:rsidP="00D0486B">
            <w:pPr>
              <w:jc w:val="center"/>
              <w:cnfStyle w:val="000000000000" w:firstRow="0" w:lastRow="0" w:firstColumn="0" w:lastColumn="0" w:oddVBand="0" w:evenVBand="0" w:oddHBand="0" w:evenHBand="0" w:firstRowFirstColumn="0" w:firstRowLastColumn="0" w:lastRowFirstColumn="0" w:lastRowLastColumn="0"/>
            </w:pPr>
            <w:r w:rsidRPr="00E005C9">
              <w:t>67%</w:t>
            </w:r>
          </w:p>
        </w:tc>
      </w:tr>
      <w:tr w:rsidR="009E705D" w:rsidRPr="00E005C9" w14:paraId="083CB74F" w14:textId="77777777" w:rsidTr="00E00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913CBB2" w14:textId="7ED8D681" w:rsidR="009E705D" w:rsidRPr="00E005C9" w:rsidRDefault="009E705D" w:rsidP="00830EBD">
            <w:pPr>
              <w:rPr>
                <w:b w:val="0"/>
                <w:bCs w:val="0"/>
              </w:rPr>
            </w:pPr>
            <w:r w:rsidRPr="00E005C9">
              <w:rPr>
                <w:b w:val="0"/>
                <w:bCs w:val="0"/>
              </w:rPr>
              <w:t>Ruggenprik</w:t>
            </w:r>
          </w:p>
          <w:p w14:paraId="6B516564" w14:textId="1A1D174E" w:rsidR="009E705D" w:rsidRPr="00E005C9" w:rsidRDefault="009E705D" w:rsidP="00830EBD">
            <w:pPr>
              <w:rPr>
                <w:b w:val="0"/>
                <w:bCs w:val="0"/>
              </w:rPr>
            </w:pPr>
          </w:p>
        </w:tc>
        <w:tc>
          <w:tcPr>
            <w:tcW w:w="2603" w:type="dxa"/>
          </w:tcPr>
          <w:p w14:paraId="2CABA6F0" w14:textId="77777777" w:rsidR="009E705D" w:rsidRPr="00E005C9" w:rsidRDefault="009E705D" w:rsidP="00D0486B">
            <w:pPr>
              <w:jc w:val="center"/>
              <w:cnfStyle w:val="000000100000" w:firstRow="0" w:lastRow="0" w:firstColumn="0" w:lastColumn="0" w:oddVBand="0" w:evenVBand="0" w:oddHBand="1" w:evenHBand="0" w:firstRowFirstColumn="0" w:firstRowLastColumn="0" w:lastRowFirstColumn="0" w:lastRowLastColumn="0"/>
            </w:pPr>
            <w:r w:rsidRPr="00E005C9">
              <w:t>53%</w:t>
            </w:r>
          </w:p>
        </w:tc>
        <w:tc>
          <w:tcPr>
            <w:tcW w:w="2604" w:type="dxa"/>
          </w:tcPr>
          <w:p w14:paraId="50301788" w14:textId="77777777" w:rsidR="009E705D" w:rsidRPr="00E005C9" w:rsidRDefault="009E705D" w:rsidP="00D0486B">
            <w:pPr>
              <w:jc w:val="center"/>
              <w:cnfStyle w:val="000000100000" w:firstRow="0" w:lastRow="0" w:firstColumn="0" w:lastColumn="0" w:oddVBand="0" w:evenVBand="0" w:oddHBand="1" w:evenHBand="0" w:firstRowFirstColumn="0" w:firstRowLastColumn="0" w:lastRowFirstColumn="0" w:lastRowLastColumn="0"/>
            </w:pPr>
            <w:r w:rsidRPr="00E005C9">
              <w:t>49%</w:t>
            </w:r>
          </w:p>
        </w:tc>
      </w:tr>
      <w:tr w:rsidR="009E705D" w:rsidRPr="00E005C9" w14:paraId="17D655AC" w14:textId="77777777" w:rsidTr="00E005C9">
        <w:tc>
          <w:tcPr>
            <w:cnfStyle w:val="001000000000" w:firstRow="0" w:lastRow="0" w:firstColumn="1" w:lastColumn="0" w:oddVBand="0" w:evenVBand="0" w:oddHBand="0" w:evenHBand="0" w:firstRowFirstColumn="0" w:firstRowLastColumn="0" w:lastRowFirstColumn="0" w:lastRowLastColumn="0"/>
            <w:tcW w:w="3964" w:type="dxa"/>
          </w:tcPr>
          <w:p w14:paraId="1C50FA76" w14:textId="51B16D71" w:rsidR="009E705D" w:rsidRPr="00E005C9" w:rsidRDefault="009E705D" w:rsidP="00830EBD">
            <w:pPr>
              <w:rPr>
                <w:b w:val="0"/>
                <w:bCs w:val="0"/>
              </w:rPr>
            </w:pPr>
            <w:r w:rsidRPr="00E005C9">
              <w:rPr>
                <w:b w:val="0"/>
                <w:bCs w:val="0"/>
              </w:rPr>
              <w:t>Meconiumhoudend vruchtwater (baby heeft gepoept in het vruchtwater)</w:t>
            </w:r>
            <w:r w:rsidR="0095606D">
              <w:rPr>
                <w:b w:val="0"/>
                <w:bCs w:val="0"/>
              </w:rPr>
              <w:br/>
            </w:r>
          </w:p>
        </w:tc>
        <w:tc>
          <w:tcPr>
            <w:tcW w:w="2603" w:type="dxa"/>
          </w:tcPr>
          <w:p w14:paraId="69A55383" w14:textId="77777777" w:rsidR="009E705D" w:rsidRPr="00E005C9" w:rsidRDefault="009E705D" w:rsidP="00D0486B">
            <w:pPr>
              <w:jc w:val="center"/>
              <w:cnfStyle w:val="000000000000" w:firstRow="0" w:lastRow="0" w:firstColumn="0" w:lastColumn="0" w:oddVBand="0" w:evenVBand="0" w:oddHBand="0" w:evenHBand="0" w:firstRowFirstColumn="0" w:firstRowLastColumn="0" w:lastRowFirstColumn="0" w:lastRowLastColumn="0"/>
            </w:pPr>
            <w:r w:rsidRPr="00E005C9">
              <w:t>19%</w:t>
            </w:r>
          </w:p>
        </w:tc>
        <w:tc>
          <w:tcPr>
            <w:tcW w:w="2604" w:type="dxa"/>
          </w:tcPr>
          <w:p w14:paraId="0681AFD8" w14:textId="77777777" w:rsidR="009E705D" w:rsidRPr="00E005C9" w:rsidRDefault="009E705D" w:rsidP="00D0486B">
            <w:pPr>
              <w:jc w:val="center"/>
              <w:cnfStyle w:val="000000000000" w:firstRow="0" w:lastRow="0" w:firstColumn="0" w:lastColumn="0" w:oddVBand="0" w:evenVBand="0" w:oddHBand="0" w:evenHBand="0" w:firstRowFirstColumn="0" w:firstRowLastColumn="0" w:lastRowFirstColumn="0" w:lastRowLastColumn="0"/>
            </w:pPr>
            <w:r w:rsidRPr="00E005C9">
              <w:t>28%</w:t>
            </w:r>
          </w:p>
        </w:tc>
      </w:tr>
      <w:tr w:rsidR="009E705D" w:rsidRPr="00E005C9" w14:paraId="6F4F0DB4" w14:textId="77777777" w:rsidTr="00E00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8B72C17" w14:textId="1ADD62D6" w:rsidR="009E705D" w:rsidRPr="00E005C9" w:rsidRDefault="009E705D" w:rsidP="00830EBD">
            <w:pPr>
              <w:rPr>
                <w:b w:val="0"/>
                <w:bCs w:val="0"/>
              </w:rPr>
            </w:pPr>
            <w:r w:rsidRPr="00E005C9">
              <w:rPr>
                <w:b w:val="0"/>
                <w:bCs w:val="0"/>
              </w:rPr>
              <w:t>Ernstige uitkomt bij het kind</w:t>
            </w:r>
          </w:p>
          <w:p w14:paraId="1EE038A7" w14:textId="46CD9AC4" w:rsidR="009E705D" w:rsidRPr="00E005C9" w:rsidRDefault="009E705D" w:rsidP="00830EBD">
            <w:pPr>
              <w:rPr>
                <w:b w:val="0"/>
                <w:bCs w:val="0"/>
              </w:rPr>
            </w:pPr>
          </w:p>
        </w:tc>
        <w:tc>
          <w:tcPr>
            <w:tcW w:w="2603" w:type="dxa"/>
          </w:tcPr>
          <w:p w14:paraId="1AEA2E65" w14:textId="403D144B" w:rsidR="009E705D" w:rsidRPr="00E005C9" w:rsidRDefault="009E705D" w:rsidP="00D0486B">
            <w:pPr>
              <w:jc w:val="center"/>
              <w:cnfStyle w:val="000000100000" w:firstRow="0" w:lastRow="0" w:firstColumn="0" w:lastColumn="0" w:oddVBand="0" w:evenVBand="0" w:oddHBand="1" w:evenHBand="0" w:firstRowFirstColumn="0" w:firstRowLastColumn="0" w:lastRowFirstColumn="0" w:lastRowLastColumn="0"/>
            </w:pPr>
            <w:r w:rsidRPr="00E005C9">
              <w:t>2,4%</w:t>
            </w:r>
          </w:p>
        </w:tc>
        <w:tc>
          <w:tcPr>
            <w:tcW w:w="2604" w:type="dxa"/>
          </w:tcPr>
          <w:p w14:paraId="2502965C" w14:textId="3474D082" w:rsidR="009E705D" w:rsidRPr="00E005C9" w:rsidRDefault="009E705D" w:rsidP="00D0486B">
            <w:pPr>
              <w:jc w:val="center"/>
              <w:cnfStyle w:val="000000100000" w:firstRow="0" w:lastRow="0" w:firstColumn="0" w:lastColumn="0" w:oddVBand="0" w:evenVBand="0" w:oddHBand="1" w:evenHBand="0" w:firstRowFirstColumn="0" w:firstRowLastColumn="0" w:lastRowFirstColumn="0" w:lastRowLastColumn="0"/>
            </w:pPr>
            <w:r w:rsidRPr="00E005C9">
              <w:t>2,2%</w:t>
            </w:r>
          </w:p>
        </w:tc>
      </w:tr>
      <w:tr w:rsidR="009E705D" w:rsidRPr="00E005C9" w14:paraId="0ED26AB8" w14:textId="77777777" w:rsidTr="00E005C9">
        <w:tc>
          <w:tcPr>
            <w:cnfStyle w:val="001000000000" w:firstRow="0" w:lastRow="0" w:firstColumn="1" w:lastColumn="0" w:oddVBand="0" w:evenVBand="0" w:oddHBand="0" w:evenHBand="0" w:firstRowFirstColumn="0" w:firstRowLastColumn="0" w:lastRowFirstColumn="0" w:lastRowLastColumn="0"/>
            <w:tcW w:w="3964" w:type="dxa"/>
          </w:tcPr>
          <w:p w14:paraId="07F6FC8A" w14:textId="673577D5" w:rsidR="009E705D" w:rsidRPr="00E005C9" w:rsidRDefault="009E705D" w:rsidP="00830EBD">
            <w:pPr>
              <w:rPr>
                <w:b w:val="0"/>
                <w:bCs w:val="0"/>
              </w:rPr>
            </w:pPr>
            <w:r w:rsidRPr="00E005C9">
              <w:rPr>
                <w:b w:val="0"/>
                <w:bCs w:val="0"/>
              </w:rPr>
              <w:t>Overleden kindje</w:t>
            </w:r>
          </w:p>
          <w:p w14:paraId="4292BEAF" w14:textId="68369147" w:rsidR="009E705D" w:rsidRPr="00E005C9" w:rsidRDefault="009E705D" w:rsidP="00830EBD">
            <w:pPr>
              <w:rPr>
                <w:b w:val="0"/>
                <w:bCs w:val="0"/>
              </w:rPr>
            </w:pPr>
          </w:p>
        </w:tc>
        <w:tc>
          <w:tcPr>
            <w:tcW w:w="2603" w:type="dxa"/>
          </w:tcPr>
          <w:p w14:paraId="12AA093B" w14:textId="6C4680AD" w:rsidR="009E705D" w:rsidRPr="00E005C9" w:rsidRDefault="009E705D" w:rsidP="00D0486B">
            <w:pPr>
              <w:jc w:val="center"/>
              <w:cnfStyle w:val="000000000000" w:firstRow="0" w:lastRow="0" w:firstColumn="0" w:lastColumn="0" w:oddVBand="0" w:evenVBand="0" w:oddHBand="0" w:evenHBand="0" w:firstRowFirstColumn="0" w:firstRowLastColumn="0" w:lastRowFirstColumn="0" w:lastRowLastColumn="0"/>
            </w:pPr>
            <w:r w:rsidRPr="00E005C9">
              <w:t>0%</w:t>
            </w:r>
          </w:p>
        </w:tc>
        <w:tc>
          <w:tcPr>
            <w:tcW w:w="2604" w:type="dxa"/>
          </w:tcPr>
          <w:p w14:paraId="2030E51E" w14:textId="09123C32" w:rsidR="009E705D" w:rsidRPr="00E005C9" w:rsidRDefault="009E705D" w:rsidP="00D0486B">
            <w:pPr>
              <w:jc w:val="center"/>
              <w:cnfStyle w:val="000000000000" w:firstRow="0" w:lastRow="0" w:firstColumn="0" w:lastColumn="0" w:oddVBand="0" w:evenVBand="0" w:oddHBand="0" w:evenHBand="0" w:firstRowFirstColumn="0" w:firstRowLastColumn="0" w:lastRowFirstColumn="0" w:lastRowLastColumn="0"/>
            </w:pPr>
            <w:r w:rsidRPr="00E005C9">
              <w:t>0,4%</w:t>
            </w:r>
          </w:p>
        </w:tc>
      </w:tr>
      <w:tr w:rsidR="009E705D" w:rsidRPr="00E005C9" w14:paraId="041FE1CF" w14:textId="77777777" w:rsidTr="00E00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4801B95" w14:textId="77777777" w:rsidR="009E705D" w:rsidRPr="00E005C9" w:rsidRDefault="009E705D" w:rsidP="00830EBD">
            <w:pPr>
              <w:rPr>
                <w:b w:val="0"/>
                <w:bCs w:val="0"/>
              </w:rPr>
            </w:pPr>
            <w:r w:rsidRPr="00E005C9">
              <w:rPr>
                <w:b w:val="0"/>
                <w:bCs w:val="0"/>
              </w:rPr>
              <w:t>Ontstoken baarmoeder na de bevalling</w:t>
            </w:r>
          </w:p>
          <w:p w14:paraId="3332FAC6" w14:textId="23EA7465" w:rsidR="009E705D" w:rsidRPr="00E005C9" w:rsidRDefault="009E705D" w:rsidP="00830EBD">
            <w:pPr>
              <w:rPr>
                <w:b w:val="0"/>
                <w:bCs w:val="0"/>
              </w:rPr>
            </w:pPr>
          </w:p>
        </w:tc>
        <w:tc>
          <w:tcPr>
            <w:tcW w:w="2603" w:type="dxa"/>
          </w:tcPr>
          <w:p w14:paraId="45CB41AA" w14:textId="2990EF3F" w:rsidR="009E705D" w:rsidRPr="00E005C9" w:rsidRDefault="009E705D" w:rsidP="00D0486B">
            <w:pPr>
              <w:jc w:val="center"/>
              <w:cnfStyle w:val="000000100000" w:firstRow="0" w:lastRow="0" w:firstColumn="0" w:lastColumn="0" w:oddVBand="0" w:evenVBand="0" w:oddHBand="1" w:evenHBand="0" w:firstRowFirstColumn="0" w:firstRowLastColumn="0" w:lastRowFirstColumn="0" w:lastRowLastColumn="0"/>
            </w:pPr>
            <w:r w:rsidRPr="00E005C9">
              <w:t>1,3%</w:t>
            </w:r>
          </w:p>
        </w:tc>
        <w:tc>
          <w:tcPr>
            <w:tcW w:w="2604" w:type="dxa"/>
          </w:tcPr>
          <w:p w14:paraId="21A2F864" w14:textId="15CCFE35" w:rsidR="009E705D" w:rsidRPr="00E005C9" w:rsidRDefault="009E705D" w:rsidP="00D0486B">
            <w:pPr>
              <w:jc w:val="center"/>
              <w:cnfStyle w:val="000000100000" w:firstRow="0" w:lastRow="0" w:firstColumn="0" w:lastColumn="0" w:oddVBand="0" w:evenVBand="0" w:oddHBand="1" w:evenHBand="0" w:firstRowFirstColumn="0" w:firstRowLastColumn="0" w:lastRowFirstColumn="0" w:lastRowLastColumn="0"/>
            </w:pPr>
            <w:r w:rsidRPr="00E005C9">
              <w:t>0,4%</w:t>
            </w:r>
          </w:p>
        </w:tc>
      </w:tr>
      <w:tr w:rsidR="009E705D" w:rsidRPr="00E005C9" w14:paraId="5430E044" w14:textId="77777777" w:rsidTr="00E005C9">
        <w:tc>
          <w:tcPr>
            <w:cnfStyle w:val="001000000000" w:firstRow="0" w:lastRow="0" w:firstColumn="1" w:lastColumn="0" w:oddVBand="0" w:evenVBand="0" w:oddHBand="0" w:evenHBand="0" w:firstRowFirstColumn="0" w:firstRowLastColumn="0" w:lastRowFirstColumn="0" w:lastRowLastColumn="0"/>
            <w:tcW w:w="3964" w:type="dxa"/>
          </w:tcPr>
          <w:p w14:paraId="31054282" w14:textId="0689E3C6" w:rsidR="009E705D" w:rsidRPr="00E005C9" w:rsidRDefault="009E705D" w:rsidP="00830EBD">
            <w:pPr>
              <w:rPr>
                <w:b w:val="0"/>
                <w:bCs w:val="0"/>
              </w:rPr>
            </w:pPr>
            <w:r w:rsidRPr="00E005C9">
              <w:rPr>
                <w:b w:val="0"/>
                <w:bCs w:val="0"/>
              </w:rPr>
              <w:t>Hoge bloeddruk of ‘zwangerschapsvergiftiging’</w:t>
            </w:r>
          </w:p>
        </w:tc>
        <w:tc>
          <w:tcPr>
            <w:tcW w:w="2603" w:type="dxa"/>
          </w:tcPr>
          <w:p w14:paraId="31D54C4B" w14:textId="0DE061A5" w:rsidR="009E705D" w:rsidRPr="00E005C9" w:rsidRDefault="009E705D" w:rsidP="00D0486B">
            <w:pPr>
              <w:jc w:val="center"/>
              <w:cnfStyle w:val="000000000000" w:firstRow="0" w:lastRow="0" w:firstColumn="0" w:lastColumn="0" w:oddVBand="0" w:evenVBand="0" w:oddHBand="0" w:evenHBand="0" w:firstRowFirstColumn="0" w:firstRowLastColumn="0" w:lastRowFirstColumn="0" w:lastRowLastColumn="0"/>
            </w:pPr>
            <w:r w:rsidRPr="00E005C9">
              <w:t>1,4%</w:t>
            </w:r>
          </w:p>
        </w:tc>
        <w:tc>
          <w:tcPr>
            <w:tcW w:w="2604" w:type="dxa"/>
          </w:tcPr>
          <w:p w14:paraId="5EDCB5A2" w14:textId="679555A9" w:rsidR="009E705D" w:rsidRPr="00E005C9" w:rsidRDefault="009E705D" w:rsidP="00D0486B">
            <w:pPr>
              <w:jc w:val="center"/>
              <w:cnfStyle w:val="000000000000" w:firstRow="0" w:lastRow="0" w:firstColumn="0" w:lastColumn="0" w:oddVBand="0" w:evenVBand="0" w:oddHBand="0" w:evenHBand="0" w:firstRowFirstColumn="0" w:firstRowLastColumn="0" w:lastRowFirstColumn="0" w:lastRowLastColumn="0"/>
            </w:pPr>
            <w:r w:rsidRPr="00E005C9">
              <w:t>3,0%</w:t>
            </w:r>
          </w:p>
        </w:tc>
      </w:tr>
    </w:tbl>
    <w:p w14:paraId="51097423" w14:textId="77777777" w:rsidR="00050A37" w:rsidRDefault="00050A37" w:rsidP="00050A37">
      <w:pPr>
        <w:rPr>
          <w:b/>
          <w:bCs/>
          <w:sz w:val="28"/>
          <w:szCs w:val="28"/>
        </w:rPr>
      </w:pPr>
    </w:p>
    <w:p w14:paraId="48911708" w14:textId="77777777" w:rsidR="00050A37" w:rsidRDefault="00050A37">
      <w:pPr>
        <w:rPr>
          <w:b/>
          <w:bCs/>
          <w:sz w:val="28"/>
          <w:szCs w:val="28"/>
        </w:rPr>
      </w:pPr>
      <w:r>
        <w:rPr>
          <w:b/>
          <w:bCs/>
          <w:sz w:val="28"/>
          <w:szCs w:val="28"/>
        </w:rPr>
        <w:br w:type="page"/>
      </w:r>
    </w:p>
    <w:p w14:paraId="37E9254D" w14:textId="0E57B0CF" w:rsidR="00953736" w:rsidRDefault="008F4828" w:rsidP="00830EBD">
      <w:pPr>
        <w:rPr>
          <w:b/>
          <w:bCs/>
          <w:sz w:val="28"/>
          <w:szCs w:val="28"/>
        </w:rPr>
      </w:pPr>
      <w:r>
        <w:rPr>
          <w:b/>
          <w:bCs/>
          <w:noProof/>
          <w:sz w:val="28"/>
          <w:szCs w:val="28"/>
        </w:rPr>
        <w:lastRenderedPageBreak/>
        <w:drawing>
          <wp:anchor distT="0" distB="0" distL="114300" distR="114300" simplePos="0" relativeHeight="251663360" behindDoc="1" locked="0" layoutInCell="1" allowOverlap="1" wp14:anchorId="4CA52E9B" wp14:editId="77D84E8C">
            <wp:simplePos x="0" y="0"/>
            <wp:positionH relativeFrom="column">
              <wp:posOffset>-543560</wp:posOffset>
            </wp:positionH>
            <wp:positionV relativeFrom="paragraph">
              <wp:posOffset>344805</wp:posOffset>
            </wp:positionV>
            <wp:extent cx="7204235" cy="4320000"/>
            <wp:effectExtent l="0" t="0" r="0" b="0"/>
            <wp:wrapTight wrapText="bothSides">
              <wp:wrapPolygon edited="0">
                <wp:start x="3256" y="381"/>
                <wp:lineTo x="1314" y="572"/>
                <wp:lineTo x="1428" y="1524"/>
                <wp:lineTo x="10795" y="2096"/>
                <wp:lineTo x="171" y="2381"/>
                <wp:lineTo x="171" y="18765"/>
                <wp:lineTo x="457" y="19146"/>
                <wp:lineTo x="343" y="19717"/>
                <wp:lineTo x="2170" y="20384"/>
                <wp:lineTo x="2170" y="21241"/>
                <wp:lineTo x="5997" y="21241"/>
                <wp:lineTo x="6112" y="20860"/>
                <wp:lineTo x="5769" y="20670"/>
                <wp:lineTo x="4512" y="20384"/>
                <wp:lineTo x="11252" y="19908"/>
                <wp:lineTo x="11481" y="19527"/>
                <wp:lineTo x="10795" y="18860"/>
                <wp:lineTo x="20277" y="18765"/>
                <wp:lineTo x="20163" y="14288"/>
                <wp:lineTo x="20562" y="12669"/>
                <wp:lineTo x="20562" y="2477"/>
                <wp:lineTo x="19991" y="2381"/>
                <wp:lineTo x="10795" y="2096"/>
                <wp:lineTo x="19763" y="1524"/>
                <wp:lineTo x="20163" y="1238"/>
                <wp:lineTo x="19934" y="381"/>
                <wp:lineTo x="3256" y="381"/>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4235" cy="4320000"/>
                    </a:xfrm>
                    <a:prstGeom prst="rect">
                      <a:avLst/>
                    </a:prstGeom>
                    <a:noFill/>
                  </pic:spPr>
                </pic:pic>
              </a:graphicData>
            </a:graphic>
            <wp14:sizeRelH relativeFrom="page">
              <wp14:pctWidth>0</wp14:pctWidth>
            </wp14:sizeRelH>
            <wp14:sizeRelV relativeFrom="page">
              <wp14:pctHeight>0</wp14:pctHeight>
            </wp14:sizeRelV>
          </wp:anchor>
        </w:drawing>
      </w:r>
    </w:p>
    <w:p w14:paraId="23E475B2" w14:textId="51E2ED5C" w:rsidR="00953736" w:rsidRPr="00953736" w:rsidRDefault="00953736" w:rsidP="00830EBD">
      <w:pPr>
        <w:rPr>
          <w:b/>
          <w:bCs/>
          <w:sz w:val="28"/>
          <w:szCs w:val="28"/>
        </w:rPr>
      </w:pPr>
    </w:p>
    <w:p w14:paraId="7ECBC714" w14:textId="09B8B72B" w:rsidR="008F4828" w:rsidRDefault="008F4828">
      <w:pPr>
        <w:rPr>
          <w:b/>
          <w:i/>
          <w:iCs/>
        </w:rPr>
      </w:pPr>
      <w:r>
        <w:rPr>
          <w:b/>
          <w:i/>
          <w:iCs/>
          <w:noProof/>
        </w:rPr>
        <w:drawing>
          <wp:anchor distT="0" distB="0" distL="114300" distR="114300" simplePos="0" relativeHeight="251664384" behindDoc="0" locked="0" layoutInCell="1" allowOverlap="1" wp14:anchorId="03A9E05C" wp14:editId="0D72FD28">
            <wp:simplePos x="0" y="0"/>
            <wp:positionH relativeFrom="column">
              <wp:posOffset>-607695</wp:posOffset>
            </wp:positionH>
            <wp:positionV relativeFrom="paragraph">
              <wp:posOffset>206375</wp:posOffset>
            </wp:positionV>
            <wp:extent cx="7203440" cy="431990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3440" cy="4319905"/>
                    </a:xfrm>
                    <a:prstGeom prst="rect">
                      <a:avLst/>
                    </a:prstGeom>
                    <a:noFill/>
                  </pic:spPr>
                </pic:pic>
              </a:graphicData>
            </a:graphic>
            <wp14:sizeRelH relativeFrom="page">
              <wp14:pctWidth>0</wp14:pctWidth>
            </wp14:sizeRelH>
            <wp14:sizeRelV relativeFrom="page">
              <wp14:pctHeight>0</wp14:pctHeight>
            </wp14:sizeRelV>
          </wp:anchor>
        </w:drawing>
      </w:r>
    </w:p>
    <w:p w14:paraId="4A399DC0" w14:textId="77777777" w:rsidR="008F4828" w:rsidRDefault="008F4828">
      <w:pPr>
        <w:rPr>
          <w:b/>
          <w:i/>
          <w:iCs/>
        </w:rPr>
      </w:pPr>
    </w:p>
    <w:p w14:paraId="1D3A756A" w14:textId="77777777" w:rsidR="008F4828" w:rsidRDefault="008F4828">
      <w:pPr>
        <w:rPr>
          <w:b/>
          <w:i/>
          <w:iCs/>
        </w:rPr>
      </w:pPr>
    </w:p>
    <w:p w14:paraId="19E268BF" w14:textId="77777777" w:rsidR="008F4828" w:rsidRDefault="008F4828">
      <w:pPr>
        <w:rPr>
          <w:b/>
          <w:i/>
          <w:iCs/>
        </w:rPr>
      </w:pPr>
    </w:p>
    <w:p w14:paraId="2E8EEEF3" w14:textId="77777777" w:rsidR="008F4828" w:rsidRDefault="008F4828">
      <w:pPr>
        <w:rPr>
          <w:b/>
          <w:i/>
          <w:iCs/>
        </w:rPr>
      </w:pPr>
    </w:p>
    <w:p w14:paraId="6D6077B9" w14:textId="77777777" w:rsidR="008F4828" w:rsidRDefault="008F4828">
      <w:pPr>
        <w:rPr>
          <w:b/>
          <w:i/>
          <w:iCs/>
        </w:rPr>
      </w:pPr>
    </w:p>
    <w:p w14:paraId="61028AFF" w14:textId="77777777" w:rsidR="008F4828" w:rsidRDefault="008F4828">
      <w:pPr>
        <w:rPr>
          <w:b/>
          <w:i/>
          <w:iCs/>
        </w:rPr>
      </w:pPr>
    </w:p>
    <w:p w14:paraId="1616B404" w14:textId="77777777" w:rsidR="008F4828" w:rsidRDefault="008F4828">
      <w:pPr>
        <w:rPr>
          <w:b/>
          <w:i/>
          <w:iCs/>
        </w:rPr>
      </w:pPr>
    </w:p>
    <w:p w14:paraId="4FCAC335" w14:textId="77777777" w:rsidR="008F4828" w:rsidRDefault="008F4828">
      <w:pPr>
        <w:rPr>
          <w:b/>
          <w:i/>
          <w:iCs/>
        </w:rPr>
      </w:pPr>
    </w:p>
    <w:p w14:paraId="603A4C19" w14:textId="77777777" w:rsidR="008F4828" w:rsidRDefault="008F4828">
      <w:pPr>
        <w:rPr>
          <w:b/>
          <w:i/>
          <w:iCs/>
        </w:rPr>
      </w:pPr>
    </w:p>
    <w:p w14:paraId="3A3DA129" w14:textId="7F4A0991" w:rsidR="008F4828" w:rsidRDefault="008F4828">
      <w:pPr>
        <w:rPr>
          <w:b/>
          <w:i/>
          <w:iCs/>
        </w:rPr>
      </w:pPr>
      <w:r>
        <w:rPr>
          <w:b/>
          <w:i/>
          <w:iCs/>
        </w:rPr>
        <w:br w:type="page"/>
      </w:r>
    </w:p>
    <w:p w14:paraId="1C0F2C74" w14:textId="5831127B" w:rsidR="008F4828" w:rsidRDefault="008F4828">
      <w:pPr>
        <w:rPr>
          <w:b/>
          <w:i/>
          <w:iCs/>
        </w:rPr>
      </w:pPr>
      <w:r>
        <w:rPr>
          <w:b/>
          <w:i/>
          <w:iCs/>
          <w:noProof/>
        </w:rPr>
        <w:lastRenderedPageBreak/>
        <w:drawing>
          <wp:anchor distT="0" distB="0" distL="114300" distR="114300" simplePos="0" relativeHeight="251666432" behindDoc="0" locked="0" layoutInCell="1" allowOverlap="1" wp14:anchorId="32D6FC3D" wp14:editId="6D9EEEEB">
            <wp:simplePos x="0" y="0"/>
            <wp:positionH relativeFrom="page">
              <wp:align>right</wp:align>
            </wp:positionH>
            <wp:positionV relativeFrom="paragraph">
              <wp:posOffset>4840605</wp:posOffset>
            </wp:positionV>
            <wp:extent cx="7203440" cy="4319905"/>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3440" cy="4319905"/>
                    </a:xfrm>
                    <a:prstGeom prst="rect">
                      <a:avLst/>
                    </a:prstGeom>
                    <a:noFill/>
                  </pic:spPr>
                </pic:pic>
              </a:graphicData>
            </a:graphic>
            <wp14:sizeRelH relativeFrom="page">
              <wp14:pctWidth>0</wp14:pctWidth>
            </wp14:sizeRelH>
            <wp14:sizeRelV relativeFrom="page">
              <wp14:pctHeight>0</wp14:pctHeight>
            </wp14:sizeRelV>
          </wp:anchor>
        </w:drawing>
      </w:r>
      <w:r>
        <w:rPr>
          <w:b/>
          <w:i/>
          <w:iCs/>
          <w:noProof/>
        </w:rPr>
        <w:drawing>
          <wp:anchor distT="0" distB="0" distL="114300" distR="114300" simplePos="0" relativeHeight="251665408" behindDoc="1" locked="0" layoutInCell="1" allowOverlap="1" wp14:anchorId="05FFB818" wp14:editId="6123EACB">
            <wp:simplePos x="0" y="0"/>
            <wp:positionH relativeFrom="column">
              <wp:posOffset>-539115</wp:posOffset>
            </wp:positionH>
            <wp:positionV relativeFrom="paragraph">
              <wp:posOffset>306705</wp:posOffset>
            </wp:positionV>
            <wp:extent cx="7200000" cy="4313402"/>
            <wp:effectExtent l="0" t="0" r="0" b="0"/>
            <wp:wrapTight wrapText="bothSides">
              <wp:wrapPolygon edited="0">
                <wp:start x="3258" y="382"/>
                <wp:lineTo x="1315" y="572"/>
                <wp:lineTo x="1429" y="1527"/>
                <wp:lineTo x="10802" y="2099"/>
                <wp:lineTo x="171" y="2385"/>
                <wp:lineTo x="171" y="18700"/>
                <wp:lineTo x="400" y="19081"/>
                <wp:lineTo x="343" y="20417"/>
                <wp:lineTo x="2172" y="20512"/>
                <wp:lineTo x="2172" y="21180"/>
                <wp:lineTo x="6001" y="21180"/>
                <wp:lineTo x="6058" y="20799"/>
                <wp:lineTo x="5772" y="20608"/>
                <wp:lineTo x="4858" y="20417"/>
                <wp:lineTo x="11259" y="19845"/>
                <wp:lineTo x="11488" y="19463"/>
                <wp:lineTo x="10802" y="18890"/>
                <wp:lineTo x="20289" y="18700"/>
                <wp:lineTo x="20289" y="14406"/>
                <wp:lineTo x="20575" y="14216"/>
                <wp:lineTo x="20575" y="2481"/>
                <wp:lineTo x="20118" y="2385"/>
                <wp:lineTo x="10802" y="2099"/>
                <wp:lineTo x="19775" y="1527"/>
                <wp:lineTo x="20175" y="1240"/>
                <wp:lineTo x="19946" y="382"/>
                <wp:lineTo x="3258" y="382"/>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0" cy="4313402"/>
                    </a:xfrm>
                    <a:prstGeom prst="rect">
                      <a:avLst/>
                    </a:prstGeom>
                    <a:noFill/>
                  </pic:spPr>
                </pic:pic>
              </a:graphicData>
            </a:graphic>
            <wp14:sizeRelH relativeFrom="page">
              <wp14:pctWidth>0</wp14:pctWidth>
            </wp14:sizeRelH>
            <wp14:sizeRelV relativeFrom="page">
              <wp14:pctHeight>0</wp14:pctHeight>
            </wp14:sizeRelV>
          </wp:anchor>
        </w:drawing>
      </w:r>
      <w:r>
        <w:rPr>
          <w:b/>
          <w:i/>
          <w:iCs/>
        </w:rPr>
        <w:br w:type="page"/>
      </w:r>
    </w:p>
    <w:p w14:paraId="0E8CC702" w14:textId="695C7C08" w:rsidR="0048111F" w:rsidRPr="00D67684" w:rsidRDefault="00D67684" w:rsidP="00830EBD">
      <w:pPr>
        <w:rPr>
          <w:b/>
          <w:i/>
          <w:iCs/>
        </w:rPr>
      </w:pPr>
      <w:r w:rsidRPr="00D67684">
        <w:rPr>
          <w:b/>
          <w:i/>
          <w:iCs/>
        </w:rPr>
        <w:lastRenderedPageBreak/>
        <w:t xml:space="preserve">Auteurs: </w:t>
      </w:r>
      <w:r w:rsidR="00953736" w:rsidRPr="00D67684">
        <w:rPr>
          <w:bCs/>
          <w:i/>
          <w:iCs/>
        </w:rPr>
        <w:t xml:space="preserve">Anna </w:t>
      </w:r>
      <w:proofErr w:type="spellStart"/>
      <w:r w:rsidR="0048111F" w:rsidRPr="00D67684">
        <w:rPr>
          <w:bCs/>
          <w:i/>
          <w:iCs/>
        </w:rPr>
        <w:t>Seijmonsbergen</w:t>
      </w:r>
      <w:proofErr w:type="spellEnd"/>
      <w:r w:rsidR="0048111F" w:rsidRPr="00D67684">
        <w:rPr>
          <w:bCs/>
          <w:i/>
          <w:iCs/>
        </w:rPr>
        <w:t>-Schermers</w:t>
      </w:r>
      <w:r w:rsidR="00191E4F">
        <w:rPr>
          <w:bCs/>
          <w:i/>
          <w:iCs/>
        </w:rPr>
        <w:t xml:space="preserve">, </w:t>
      </w:r>
      <w:proofErr w:type="spellStart"/>
      <w:r w:rsidR="00191E4F">
        <w:rPr>
          <w:bCs/>
          <w:i/>
          <w:iCs/>
        </w:rPr>
        <w:t>Bahareh</w:t>
      </w:r>
      <w:proofErr w:type="spellEnd"/>
      <w:r w:rsidR="00191E4F">
        <w:rPr>
          <w:bCs/>
          <w:i/>
          <w:iCs/>
        </w:rPr>
        <w:t xml:space="preserve"> </w:t>
      </w:r>
      <w:proofErr w:type="spellStart"/>
      <w:r w:rsidR="00191E4F">
        <w:rPr>
          <w:bCs/>
          <w:i/>
          <w:iCs/>
        </w:rPr>
        <w:t>Goodarzi</w:t>
      </w:r>
      <w:proofErr w:type="spellEnd"/>
      <w:r w:rsidRPr="00D67684">
        <w:rPr>
          <w:bCs/>
          <w:i/>
          <w:iCs/>
        </w:rPr>
        <w:t xml:space="preserve"> en</w:t>
      </w:r>
      <w:r w:rsidR="00DB3DD9" w:rsidRPr="00D67684">
        <w:rPr>
          <w:bCs/>
          <w:i/>
          <w:iCs/>
        </w:rPr>
        <w:t xml:space="preserve"> </w:t>
      </w:r>
      <w:r w:rsidR="0048111F" w:rsidRPr="00D67684">
        <w:rPr>
          <w:bCs/>
          <w:i/>
          <w:iCs/>
        </w:rPr>
        <w:t xml:space="preserve">Ank de Jonge, </w:t>
      </w:r>
      <w:proofErr w:type="spellStart"/>
      <w:r w:rsidR="0048111F" w:rsidRPr="00D67684">
        <w:rPr>
          <w:bCs/>
          <w:i/>
          <w:iCs/>
        </w:rPr>
        <w:t>Midwifery</w:t>
      </w:r>
      <w:proofErr w:type="spellEnd"/>
      <w:r w:rsidR="0048111F" w:rsidRPr="00D67684">
        <w:rPr>
          <w:bCs/>
          <w:i/>
          <w:iCs/>
        </w:rPr>
        <w:t xml:space="preserve"> </w:t>
      </w:r>
      <w:proofErr w:type="spellStart"/>
      <w:r w:rsidR="0048111F" w:rsidRPr="00D67684">
        <w:rPr>
          <w:bCs/>
          <w:i/>
          <w:iCs/>
        </w:rPr>
        <w:t>Science</w:t>
      </w:r>
      <w:proofErr w:type="spellEnd"/>
      <w:r w:rsidR="0048111F" w:rsidRPr="00D67684">
        <w:rPr>
          <w:bCs/>
          <w:i/>
          <w:iCs/>
        </w:rPr>
        <w:t>, AVAG/ Amsterdam UMC</w:t>
      </w:r>
    </w:p>
    <w:p w14:paraId="7389DF4F" w14:textId="77777777" w:rsidR="00C82774" w:rsidRDefault="00C82774" w:rsidP="00C82774">
      <w:r w:rsidRPr="00191E4F">
        <w:rPr>
          <w:b/>
        </w:rPr>
        <w:t>Bronnen</w:t>
      </w:r>
    </w:p>
    <w:p w14:paraId="7FD7125B" w14:textId="77777777" w:rsidR="00FC42F9" w:rsidRDefault="00C82774" w:rsidP="00FC42F9">
      <w:pPr>
        <w:pStyle w:val="EndNoteBibliography"/>
        <w:spacing w:after="0"/>
        <w:ind w:left="720" w:hanging="720"/>
        <w:rPr>
          <w:lang w:val="nl-NL"/>
        </w:rPr>
      </w:pPr>
      <w:r w:rsidRPr="00BC18CE">
        <w:rPr>
          <w:lang w:val="nl-NL"/>
        </w:rPr>
        <w:t>1.</w:t>
      </w:r>
      <w:r w:rsidRPr="00BC18CE">
        <w:rPr>
          <w:lang w:val="nl-NL"/>
        </w:rPr>
        <w:tab/>
        <w:t xml:space="preserve">Wennerholm UB, Saltvedt S, Wessberg A, Alkmark M, Bergh C, Wendel SB, et al. </w:t>
      </w:r>
      <w:r w:rsidRPr="00953736">
        <w:t xml:space="preserve">Induction of labour at 41 weeks versus expectant management and induction of labour at 42 weeks (SWEdish Post-term Induction Study, SWEPIS): multicentre, open label, randomised, superiority trial. </w:t>
      </w:r>
      <w:r w:rsidRPr="00BC18CE">
        <w:rPr>
          <w:lang w:val="nl-NL"/>
        </w:rPr>
        <w:t>Bmj. 2019;367:l6131.</w:t>
      </w:r>
    </w:p>
    <w:p w14:paraId="0211A91F" w14:textId="78E82038" w:rsidR="00FC42F9" w:rsidRPr="00DA3A49" w:rsidRDefault="00C82774" w:rsidP="00FC42F9">
      <w:pPr>
        <w:pStyle w:val="EndNoteBibliography"/>
        <w:spacing w:after="0"/>
        <w:ind w:left="720" w:hanging="720"/>
        <w:rPr>
          <w:lang w:val="nl-NL"/>
        </w:rPr>
      </w:pPr>
      <w:r w:rsidRPr="00BC18CE">
        <w:rPr>
          <w:lang w:val="nl-NL"/>
        </w:rPr>
        <w:t>2.</w:t>
      </w:r>
      <w:r w:rsidRPr="00BC18CE">
        <w:rPr>
          <w:lang w:val="nl-NL"/>
        </w:rPr>
        <w:tab/>
        <w:t xml:space="preserve">Keulen JK, Bruinsma A, Kortekaas JC, van Dillen J, Bossuyt PM, Oudijk MA, et al. </w:t>
      </w:r>
      <w:r w:rsidRPr="00953736">
        <w:t xml:space="preserve">Induction of labour at 41 weeks versus expectant management until 42 weeks (INDEX): multicentre, randomised non-inferiority trial. </w:t>
      </w:r>
      <w:r w:rsidRPr="00DA3A49">
        <w:rPr>
          <w:lang w:val="nl-NL"/>
        </w:rPr>
        <w:t>Bmj. 2019;364:l344.</w:t>
      </w:r>
    </w:p>
    <w:p w14:paraId="6F176BE1" w14:textId="7A91C647" w:rsidR="00FC42F9" w:rsidRPr="00953736" w:rsidRDefault="00FC42F9" w:rsidP="00C82774">
      <w:pPr>
        <w:pStyle w:val="EndNoteBibliography"/>
        <w:ind w:left="720" w:hanging="720"/>
      </w:pPr>
      <w:r w:rsidRPr="00FC42F9">
        <w:rPr>
          <w:lang w:val="nl-NL"/>
        </w:rPr>
        <w:t>3.</w:t>
      </w:r>
      <w:r w:rsidRPr="00FC42F9">
        <w:rPr>
          <w:lang w:val="nl-NL"/>
        </w:rPr>
        <w:tab/>
      </w:r>
      <w:r w:rsidRPr="00FC42F9">
        <w:rPr>
          <w:rFonts w:cs="Times New Roman"/>
          <w:szCs w:val="24"/>
          <w:lang w:val="nl-NL"/>
        </w:rPr>
        <w:t xml:space="preserve">Seijmonsbergen-Schermers AE, Peters LL, Goodarzi B, Bekker M, Prins M, Stapert M, et al. </w:t>
      </w:r>
      <w:r w:rsidRPr="00893364">
        <w:rPr>
          <w:rFonts w:cs="Times New Roman"/>
          <w:szCs w:val="24"/>
          <w:lang w:val="en-GB"/>
        </w:rPr>
        <w:t>Which level of risk justifies routine induction of labor for healthy women? Sex Reprod Healthc [Internet]. 2019;(November):100479. Available from: https://linkinghub.elsevier.com/retrieve/pii/S1877575619302332%0Ahttps://www.sciencedirect.com/science/article/abs/pii/S1877575619302332</w:t>
      </w:r>
    </w:p>
    <w:p w14:paraId="32C7821D" w14:textId="39FF9D23" w:rsidR="008E7459" w:rsidRDefault="008E7459" w:rsidP="00C82774"/>
    <w:sectPr w:rsidR="008E74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6C95" w14:textId="77777777" w:rsidR="00A730EB" w:rsidRDefault="00A730EB" w:rsidP="00E238F2">
      <w:pPr>
        <w:spacing w:after="0" w:line="240" w:lineRule="auto"/>
      </w:pPr>
      <w:r>
        <w:separator/>
      </w:r>
    </w:p>
  </w:endnote>
  <w:endnote w:type="continuationSeparator" w:id="0">
    <w:p w14:paraId="1E628434" w14:textId="77777777" w:rsidR="00A730EB" w:rsidRDefault="00A730EB" w:rsidP="00E2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D26A4" w14:textId="77777777" w:rsidR="00A730EB" w:rsidRDefault="00A730EB" w:rsidP="00E238F2">
      <w:pPr>
        <w:spacing w:after="0" w:line="240" w:lineRule="auto"/>
      </w:pPr>
      <w:r>
        <w:separator/>
      </w:r>
    </w:p>
  </w:footnote>
  <w:footnote w:type="continuationSeparator" w:id="0">
    <w:p w14:paraId="3570D697" w14:textId="77777777" w:rsidR="00A730EB" w:rsidRDefault="00A730EB" w:rsidP="00E23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A73"/>
    <w:multiLevelType w:val="hybridMultilevel"/>
    <w:tmpl w:val="097C3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4D27BF"/>
    <w:multiLevelType w:val="hybridMultilevel"/>
    <w:tmpl w:val="277AF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ytTCyMDQxtjQ2MLBU0lEKTi0uzszPAykwrAUA3rMqNy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xr02xs4vvfxtextzhp5d0hdwz0ve5xs90t&quot;&gt;References Anna&lt;record-ids&gt;&lt;item&gt;824&lt;/item&gt;&lt;item&gt;983&lt;/item&gt;&lt;/record-ids&gt;&lt;/item&gt;&lt;/Libraries&gt;"/>
  </w:docVars>
  <w:rsids>
    <w:rsidRoot w:val="0024553B"/>
    <w:rsid w:val="000279F4"/>
    <w:rsid w:val="00043A7F"/>
    <w:rsid w:val="00050A37"/>
    <w:rsid w:val="000B7A38"/>
    <w:rsid w:val="000C29DE"/>
    <w:rsid w:val="000D320C"/>
    <w:rsid w:val="000E1C53"/>
    <w:rsid w:val="00107083"/>
    <w:rsid w:val="001119B4"/>
    <w:rsid w:val="001171BE"/>
    <w:rsid w:val="0018333F"/>
    <w:rsid w:val="00190E89"/>
    <w:rsid w:val="00191E4F"/>
    <w:rsid w:val="001E4881"/>
    <w:rsid w:val="001F4426"/>
    <w:rsid w:val="0021561D"/>
    <w:rsid w:val="0024553B"/>
    <w:rsid w:val="0027526B"/>
    <w:rsid w:val="002C0183"/>
    <w:rsid w:val="002C31B7"/>
    <w:rsid w:val="002D6906"/>
    <w:rsid w:val="002F2E5A"/>
    <w:rsid w:val="0030034B"/>
    <w:rsid w:val="00353D72"/>
    <w:rsid w:val="00356D59"/>
    <w:rsid w:val="00385B28"/>
    <w:rsid w:val="003A556E"/>
    <w:rsid w:val="003D473A"/>
    <w:rsid w:val="0048111F"/>
    <w:rsid w:val="00490D53"/>
    <w:rsid w:val="004C00FA"/>
    <w:rsid w:val="00506D5D"/>
    <w:rsid w:val="00521200"/>
    <w:rsid w:val="0052120E"/>
    <w:rsid w:val="005367AB"/>
    <w:rsid w:val="0054502E"/>
    <w:rsid w:val="00570831"/>
    <w:rsid w:val="0058670E"/>
    <w:rsid w:val="005C050C"/>
    <w:rsid w:val="006232E5"/>
    <w:rsid w:val="006332AD"/>
    <w:rsid w:val="00665ACC"/>
    <w:rsid w:val="00671F88"/>
    <w:rsid w:val="00711D93"/>
    <w:rsid w:val="00736E16"/>
    <w:rsid w:val="007606E2"/>
    <w:rsid w:val="00783297"/>
    <w:rsid w:val="007962D7"/>
    <w:rsid w:val="00830EBD"/>
    <w:rsid w:val="008336C6"/>
    <w:rsid w:val="00843813"/>
    <w:rsid w:val="00854406"/>
    <w:rsid w:val="00867A96"/>
    <w:rsid w:val="00893364"/>
    <w:rsid w:val="00894815"/>
    <w:rsid w:val="008D3D4E"/>
    <w:rsid w:val="008E0995"/>
    <w:rsid w:val="008E7459"/>
    <w:rsid w:val="008F355E"/>
    <w:rsid w:val="008F4828"/>
    <w:rsid w:val="00921EFF"/>
    <w:rsid w:val="00934AE1"/>
    <w:rsid w:val="00953736"/>
    <w:rsid w:val="0095606D"/>
    <w:rsid w:val="00972409"/>
    <w:rsid w:val="009A3456"/>
    <w:rsid w:val="009E705D"/>
    <w:rsid w:val="00A2062E"/>
    <w:rsid w:val="00A730EB"/>
    <w:rsid w:val="00A91E39"/>
    <w:rsid w:val="00A97654"/>
    <w:rsid w:val="00AB2AED"/>
    <w:rsid w:val="00AB4E66"/>
    <w:rsid w:val="00AD5167"/>
    <w:rsid w:val="00AF1EF4"/>
    <w:rsid w:val="00B066B4"/>
    <w:rsid w:val="00B27A3A"/>
    <w:rsid w:val="00B314E9"/>
    <w:rsid w:val="00B508D5"/>
    <w:rsid w:val="00B54239"/>
    <w:rsid w:val="00B562C3"/>
    <w:rsid w:val="00B934B4"/>
    <w:rsid w:val="00C052FA"/>
    <w:rsid w:val="00C22B50"/>
    <w:rsid w:val="00C33E15"/>
    <w:rsid w:val="00C44E08"/>
    <w:rsid w:val="00C527DA"/>
    <w:rsid w:val="00C65119"/>
    <w:rsid w:val="00C65B25"/>
    <w:rsid w:val="00C82774"/>
    <w:rsid w:val="00C85257"/>
    <w:rsid w:val="00CB21F3"/>
    <w:rsid w:val="00CD04E5"/>
    <w:rsid w:val="00CE109C"/>
    <w:rsid w:val="00CE5D41"/>
    <w:rsid w:val="00CF500E"/>
    <w:rsid w:val="00D03F27"/>
    <w:rsid w:val="00D0486B"/>
    <w:rsid w:val="00D04F16"/>
    <w:rsid w:val="00D12B23"/>
    <w:rsid w:val="00D170C1"/>
    <w:rsid w:val="00D552F5"/>
    <w:rsid w:val="00D634F0"/>
    <w:rsid w:val="00D67684"/>
    <w:rsid w:val="00D80F06"/>
    <w:rsid w:val="00D96DC1"/>
    <w:rsid w:val="00DA3A49"/>
    <w:rsid w:val="00DB3DD9"/>
    <w:rsid w:val="00DC09F0"/>
    <w:rsid w:val="00E00244"/>
    <w:rsid w:val="00E005C9"/>
    <w:rsid w:val="00E16573"/>
    <w:rsid w:val="00E213FC"/>
    <w:rsid w:val="00E238F2"/>
    <w:rsid w:val="00E343F7"/>
    <w:rsid w:val="00EB71F7"/>
    <w:rsid w:val="00EC0D1D"/>
    <w:rsid w:val="00EC2C43"/>
    <w:rsid w:val="00F0108A"/>
    <w:rsid w:val="00F03895"/>
    <w:rsid w:val="00F06098"/>
    <w:rsid w:val="00F122A7"/>
    <w:rsid w:val="00F233BF"/>
    <w:rsid w:val="00F449F2"/>
    <w:rsid w:val="00F7243F"/>
    <w:rsid w:val="00FB143D"/>
    <w:rsid w:val="00FB7B2F"/>
    <w:rsid w:val="00FC42F9"/>
    <w:rsid w:val="00FF3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16D4"/>
  <w15:docId w15:val="{D754D5DD-3ECF-48AA-BDD6-F76FFE8D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0EBD"/>
    <w:pPr>
      <w:ind w:left="720"/>
      <w:contextualSpacing/>
    </w:pPr>
  </w:style>
  <w:style w:type="table" w:styleId="Tabelraster">
    <w:name w:val="Table Grid"/>
    <w:basedOn w:val="Standaardtabel"/>
    <w:uiPriority w:val="59"/>
    <w:rsid w:val="00796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232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2E5"/>
    <w:rPr>
      <w:rFonts w:ascii="Tahoma" w:hAnsi="Tahoma" w:cs="Tahoma"/>
      <w:sz w:val="16"/>
      <w:szCs w:val="16"/>
    </w:rPr>
  </w:style>
  <w:style w:type="character" w:styleId="Hyperlink">
    <w:name w:val="Hyperlink"/>
    <w:basedOn w:val="Standaardalinea-lettertype"/>
    <w:uiPriority w:val="99"/>
    <w:semiHidden/>
    <w:unhideWhenUsed/>
    <w:rsid w:val="00C052FA"/>
    <w:rPr>
      <w:color w:val="0000FF"/>
      <w:u w:val="single"/>
    </w:rPr>
  </w:style>
  <w:style w:type="character" w:styleId="Verwijzingopmerking">
    <w:name w:val="annotation reference"/>
    <w:basedOn w:val="Standaardalinea-lettertype"/>
    <w:uiPriority w:val="99"/>
    <w:semiHidden/>
    <w:unhideWhenUsed/>
    <w:rsid w:val="00894815"/>
    <w:rPr>
      <w:sz w:val="16"/>
      <w:szCs w:val="16"/>
    </w:rPr>
  </w:style>
  <w:style w:type="paragraph" w:styleId="Tekstopmerking">
    <w:name w:val="annotation text"/>
    <w:basedOn w:val="Standaard"/>
    <w:link w:val="TekstopmerkingChar"/>
    <w:uiPriority w:val="99"/>
    <w:semiHidden/>
    <w:unhideWhenUsed/>
    <w:rsid w:val="008948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4815"/>
    <w:rPr>
      <w:sz w:val="20"/>
      <w:szCs w:val="20"/>
    </w:rPr>
  </w:style>
  <w:style w:type="paragraph" w:styleId="Onderwerpvanopmerking">
    <w:name w:val="annotation subject"/>
    <w:basedOn w:val="Tekstopmerking"/>
    <w:next w:val="Tekstopmerking"/>
    <w:link w:val="OnderwerpvanopmerkingChar"/>
    <w:uiPriority w:val="99"/>
    <w:semiHidden/>
    <w:unhideWhenUsed/>
    <w:rsid w:val="00894815"/>
    <w:rPr>
      <w:b/>
      <w:bCs/>
    </w:rPr>
  </w:style>
  <w:style w:type="character" w:customStyle="1" w:styleId="OnderwerpvanopmerkingChar">
    <w:name w:val="Onderwerp van opmerking Char"/>
    <w:basedOn w:val="TekstopmerkingChar"/>
    <w:link w:val="Onderwerpvanopmerking"/>
    <w:uiPriority w:val="99"/>
    <w:semiHidden/>
    <w:rsid w:val="00894815"/>
    <w:rPr>
      <w:b/>
      <w:bCs/>
      <w:sz w:val="20"/>
      <w:szCs w:val="20"/>
    </w:rPr>
  </w:style>
  <w:style w:type="character" w:styleId="GevolgdeHyperlink">
    <w:name w:val="FollowedHyperlink"/>
    <w:basedOn w:val="Standaardalinea-lettertype"/>
    <w:uiPriority w:val="99"/>
    <w:semiHidden/>
    <w:unhideWhenUsed/>
    <w:rsid w:val="00783297"/>
    <w:rPr>
      <w:color w:val="800080" w:themeColor="followedHyperlink"/>
      <w:u w:val="single"/>
    </w:rPr>
  </w:style>
  <w:style w:type="table" w:customStyle="1" w:styleId="Onopgemaaktetabel41">
    <w:name w:val="Onopgemaakte tabel 41"/>
    <w:basedOn w:val="Standaardtabel"/>
    <w:uiPriority w:val="44"/>
    <w:rsid w:val="00E005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Standaard"/>
    <w:link w:val="EndNoteBibliographyTitleChar"/>
    <w:rsid w:val="00953736"/>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953736"/>
    <w:rPr>
      <w:rFonts w:ascii="Calibri" w:hAnsi="Calibri" w:cs="Calibri"/>
      <w:noProof/>
      <w:lang w:val="en-US"/>
    </w:rPr>
  </w:style>
  <w:style w:type="paragraph" w:customStyle="1" w:styleId="EndNoteBibliography">
    <w:name w:val="EndNote Bibliography"/>
    <w:basedOn w:val="Standaard"/>
    <w:link w:val="EndNoteBibliographyChar"/>
    <w:rsid w:val="00953736"/>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953736"/>
    <w:rPr>
      <w:rFonts w:ascii="Calibri" w:hAnsi="Calibri" w:cs="Calibri"/>
      <w:noProof/>
      <w:lang w:val="en-US"/>
    </w:rPr>
  </w:style>
  <w:style w:type="paragraph" w:styleId="Koptekst">
    <w:name w:val="header"/>
    <w:basedOn w:val="Standaard"/>
    <w:link w:val="KoptekstChar"/>
    <w:uiPriority w:val="99"/>
    <w:unhideWhenUsed/>
    <w:rsid w:val="00E238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38F2"/>
  </w:style>
  <w:style w:type="paragraph" w:styleId="Voettekst">
    <w:name w:val="footer"/>
    <w:basedOn w:val="Standaard"/>
    <w:link w:val="VoettekstChar"/>
    <w:uiPriority w:val="99"/>
    <w:unhideWhenUsed/>
    <w:rsid w:val="00E238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3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462B-17E5-4678-B253-EB8D86F4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1270</Words>
  <Characters>6986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Seijmonsbergen - Schermers, Anna</dc:creator>
  <cp:lastModifiedBy>Mirjam</cp:lastModifiedBy>
  <cp:revision>2</cp:revision>
  <dcterms:created xsi:type="dcterms:W3CDTF">2019-12-16T09:26:00Z</dcterms:created>
  <dcterms:modified xsi:type="dcterms:W3CDTF">2019-12-16T09:26:00Z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http://www.zotero.org/styles/plos-medicine</vt:lpwstr>
  </property>
  <property fmtid="{D5CDD505-2E9C-101B-9397-08002B2CF9AE}" pid="19" name="Mendeley Recent Style Name 8_1">
    <vt:lpwstr>PLOS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711848aa-83ab-37c2-8e9d-03ccd219cb86</vt:lpwstr>
  </property>
  <property fmtid="{D5CDD505-2E9C-101B-9397-08002B2CF9AE}" pid="24" name="Mendeley Citation Style_1">
    <vt:lpwstr>http://www.zotero.org/styles/vancouver</vt:lpwstr>
  </property>
</Properties>
</file>